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34769" w14:textId="01FD84E4" w:rsidR="00D456AB" w:rsidRPr="006E7252" w:rsidRDefault="00D456AB" w:rsidP="006E72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E7252">
        <w:rPr>
          <w:rFonts w:ascii="Arial" w:hAnsi="Arial" w:cs="Arial"/>
          <w:sz w:val="18"/>
          <w:szCs w:val="18"/>
        </w:rPr>
        <w:t>Приложение №</w:t>
      </w:r>
      <w:r w:rsidR="0074536A">
        <w:rPr>
          <w:rFonts w:ascii="Arial" w:hAnsi="Arial" w:cs="Arial"/>
          <w:sz w:val="18"/>
          <w:szCs w:val="18"/>
        </w:rPr>
        <w:t>1</w:t>
      </w:r>
    </w:p>
    <w:p w14:paraId="7B175238" w14:textId="77777777" w:rsidR="0074536A" w:rsidRPr="0074536A" w:rsidRDefault="0074536A" w:rsidP="0074536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к Правилам </w:t>
      </w:r>
      <w:r w:rsidRPr="0074536A">
        <w:rPr>
          <w:rFonts w:ascii="Arial" w:hAnsi="Arial" w:cs="Arial"/>
          <w:sz w:val="18"/>
          <w:szCs w:val="18"/>
        </w:rPr>
        <w:t xml:space="preserve">проведения маркетинговой </w:t>
      </w:r>
      <w:r>
        <w:rPr>
          <w:rFonts w:ascii="Arial" w:hAnsi="Arial" w:cs="Arial"/>
          <w:sz w:val="18"/>
          <w:szCs w:val="18"/>
        </w:rPr>
        <w:t>А</w:t>
      </w:r>
      <w:r w:rsidRPr="0074536A">
        <w:rPr>
          <w:rFonts w:ascii="Arial" w:hAnsi="Arial" w:cs="Arial"/>
          <w:sz w:val="18"/>
          <w:szCs w:val="18"/>
        </w:rPr>
        <w:t>кции</w:t>
      </w:r>
    </w:p>
    <w:p w14:paraId="48BA2EB2" w14:textId="77777777" w:rsidR="0074536A" w:rsidRPr="0074536A" w:rsidRDefault="0074536A" w:rsidP="0074536A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74536A">
        <w:rPr>
          <w:rFonts w:ascii="Arial" w:hAnsi="Arial" w:cs="Arial"/>
          <w:sz w:val="18"/>
          <w:szCs w:val="18"/>
        </w:rPr>
        <w:t>«</w:t>
      </w:r>
      <w:r w:rsidR="00492868">
        <w:rPr>
          <w:rFonts w:ascii="Arial" w:hAnsi="Arial" w:cs="Arial"/>
          <w:sz w:val="18"/>
          <w:szCs w:val="18"/>
        </w:rPr>
        <w:t>Эквайринг за 0%</w:t>
      </w:r>
      <w:r w:rsidRPr="0074536A">
        <w:rPr>
          <w:rFonts w:ascii="Arial" w:hAnsi="Arial" w:cs="Arial"/>
          <w:sz w:val="18"/>
          <w:szCs w:val="18"/>
        </w:rPr>
        <w:t>»</w:t>
      </w:r>
    </w:p>
    <w:p w14:paraId="37642873" w14:textId="3E49F44A" w:rsidR="00D456AB" w:rsidRPr="006463A3" w:rsidRDefault="00086B8E" w:rsidP="00967EB9">
      <w:pPr>
        <w:jc w:val="center"/>
        <w:rPr>
          <w:rFonts w:ascii="Arial" w:hAnsi="Arial" w:cs="Arial"/>
          <w:b/>
          <w:sz w:val="24"/>
          <w:szCs w:val="24"/>
        </w:rPr>
      </w:pPr>
      <w:r w:rsidRPr="006463A3">
        <w:rPr>
          <w:rFonts w:ascii="Arial" w:hAnsi="Arial" w:cs="Arial"/>
          <w:b/>
          <w:sz w:val="24"/>
          <w:szCs w:val="24"/>
        </w:rPr>
        <w:t>Специальные тарифы</w:t>
      </w:r>
    </w:p>
    <w:tbl>
      <w:tblPr>
        <w:tblStyle w:val="a3"/>
        <w:tblW w:w="145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2126"/>
        <w:gridCol w:w="2410"/>
        <w:gridCol w:w="1910"/>
        <w:gridCol w:w="1870"/>
        <w:gridCol w:w="2031"/>
        <w:gridCol w:w="1702"/>
      </w:tblGrid>
      <w:tr w:rsidR="00492868" w:rsidRPr="00D456AB" w14:paraId="31C2ADC9" w14:textId="77777777" w:rsidTr="006463A3">
        <w:trPr>
          <w:trHeight w:val="818"/>
        </w:trPr>
        <w:tc>
          <w:tcPr>
            <w:tcW w:w="2537" w:type="dxa"/>
            <w:vMerge w:val="restart"/>
            <w:vAlign w:val="center"/>
          </w:tcPr>
          <w:p w14:paraId="18708EA2" w14:textId="77777777" w:rsidR="00492868" w:rsidRPr="00EF17E8" w:rsidRDefault="00492868" w:rsidP="00EF17E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7E8">
              <w:rPr>
                <w:rFonts w:ascii="Arial" w:hAnsi="Arial" w:cs="Arial"/>
                <w:sz w:val="20"/>
                <w:szCs w:val="20"/>
              </w:rPr>
              <w:t xml:space="preserve">Оборот по </w:t>
            </w:r>
            <w:r w:rsidRPr="00EF17E8">
              <w:rPr>
                <w:rFonts w:ascii="Arial" w:hAnsi="Arial" w:cs="Arial"/>
                <w:sz w:val="20"/>
                <w:szCs w:val="20"/>
                <w:lang w:val="en-US"/>
              </w:rPr>
              <w:t>POS</w:t>
            </w:r>
            <w:r w:rsidRPr="00EF17E8">
              <w:rPr>
                <w:rFonts w:ascii="Arial" w:hAnsi="Arial" w:cs="Arial"/>
                <w:sz w:val="20"/>
                <w:szCs w:val="20"/>
              </w:rPr>
              <w:t>-терминалу в течение календарного месяца</w:t>
            </w:r>
          </w:p>
        </w:tc>
        <w:tc>
          <w:tcPr>
            <w:tcW w:w="2126" w:type="dxa"/>
            <w:vMerge w:val="restart"/>
            <w:vAlign w:val="center"/>
          </w:tcPr>
          <w:p w14:paraId="327D39CC" w14:textId="290FBDFC" w:rsidR="00492868" w:rsidRPr="00EF17E8" w:rsidRDefault="00492868" w:rsidP="00EF17E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7E8">
              <w:rPr>
                <w:rFonts w:ascii="Arial" w:hAnsi="Arial" w:cs="Arial"/>
                <w:sz w:val="20"/>
                <w:szCs w:val="20"/>
              </w:rPr>
              <w:t>Комиссионное вознаграждение</w:t>
            </w:r>
            <w:r w:rsidR="00BF1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17E8">
              <w:rPr>
                <w:rFonts w:ascii="Arial" w:hAnsi="Arial" w:cs="Arial"/>
                <w:sz w:val="20"/>
                <w:szCs w:val="20"/>
              </w:rPr>
              <w:t xml:space="preserve">в течение 4 (четырех) календарных месяцев с </w:t>
            </w:r>
            <w:r w:rsidR="008E6CF2">
              <w:rPr>
                <w:rFonts w:ascii="Arial" w:hAnsi="Arial" w:cs="Arial"/>
                <w:sz w:val="20"/>
                <w:szCs w:val="20"/>
              </w:rPr>
              <w:t>даты обращения в Банк с Заявлением</w:t>
            </w:r>
            <w:r w:rsidRPr="00EF17E8">
              <w:rPr>
                <w:rStyle w:val="a7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2410" w:type="dxa"/>
            <w:vMerge w:val="restart"/>
            <w:vAlign w:val="center"/>
          </w:tcPr>
          <w:p w14:paraId="091F1723" w14:textId="5E01D487" w:rsidR="00492868" w:rsidRPr="00EF17E8" w:rsidRDefault="00492868" w:rsidP="00EF17E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7E8">
              <w:rPr>
                <w:rFonts w:ascii="Arial" w:hAnsi="Arial" w:cs="Arial"/>
                <w:sz w:val="20"/>
                <w:szCs w:val="20"/>
              </w:rPr>
              <w:t xml:space="preserve">Комиссионное вознаграждение с 5 (пятого) календарного месяца с даты </w:t>
            </w:r>
            <w:r w:rsidR="008E6CF2">
              <w:rPr>
                <w:rFonts w:ascii="Arial" w:hAnsi="Arial" w:cs="Arial"/>
                <w:sz w:val="20"/>
                <w:szCs w:val="20"/>
              </w:rPr>
              <w:t>обращения в Банк с Заявлением</w:t>
            </w:r>
            <w:r w:rsidRPr="00EF17E8">
              <w:rPr>
                <w:rStyle w:val="a7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7513" w:type="dxa"/>
            <w:gridSpan w:val="4"/>
            <w:vAlign w:val="center"/>
          </w:tcPr>
          <w:p w14:paraId="08C74CE5" w14:textId="77777777" w:rsidR="00492868" w:rsidRPr="00EF17E8" w:rsidRDefault="00492868" w:rsidP="00BF17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Процессинговая плата</w:t>
            </w:r>
          </w:p>
          <w:p w14:paraId="60DDA2FD" w14:textId="77777777" w:rsidR="00492868" w:rsidRPr="00EF17E8" w:rsidRDefault="00492868" w:rsidP="00BF17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(на один терминал руб./ мес.)</w:t>
            </w:r>
            <w:r w:rsidRPr="00EF17E8">
              <w:rPr>
                <w:rStyle w:val="a7"/>
                <w:rFonts w:ascii="Arial" w:hAnsi="Arial" w:cs="Arial"/>
                <w:color w:val="000000"/>
                <w:sz w:val="20"/>
                <w:szCs w:val="20"/>
              </w:rPr>
              <w:footnoteReference w:id="3"/>
            </w:r>
          </w:p>
        </w:tc>
      </w:tr>
      <w:tr w:rsidR="00BF17F7" w:rsidRPr="00D456AB" w14:paraId="2F3BA219" w14:textId="77777777" w:rsidTr="006463A3">
        <w:trPr>
          <w:trHeight w:val="817"/>
        </w:trPr>
        <w:tc>
          <w:tcPr>
            <w:tcW w:w="2537" w:type="dxa"/>
            <w:vMerge/>
            <w:vAlign w:val="center"/>
          </w:tcPr>
          <w:p w14:paraId="1491C4C0" w14:textId="77777777" w:rsidR="00492868" w:rsidRPr="00EF17E8" w:rsidRDefault="00492868" w:rsidP="00BD7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735AD3A" w14:textId="77777777" w:rsidR="00492868" w:rsidRPr="00EF17E8" w:rsidRDefault="00492868" w:rsidP="00BD7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1435BBF" w14:textId="77777777" w:rsidR="00492868" w:rsidRPr="00EF17E8" w:rsidRDefault="00492868" w:rsidP="00BD7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14:paraId="3023616A" w14:textId="35DED399" w:rsidR="00492868" w:rsidRPr="00EF17E8" w:rsidRDefault="00492868" w:rsidP="00BD70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63A3">
              <w:rPr>
                <w:rFonts w:ascii="Arial" w:hAnsi="Arial" w:cs="Arial"/>
                <w:color w:val="000000"/>
                <w:sz w:val="20"/>
                <w:szCs w:val="20"/>
              </w:rPr>
              <w:t>от 0 до 100</w:t>
            </w:r>
            <w:r w:rsidR="00BF17F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BF17F7" w:rsidRPr="00EF17E8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  <w:r w:rsidR="00BF17F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рублей включительно</w:t>
            </w:r>
          </w:p>
        </w:tc>
        <w:tc>
          <w:tcPr>
            <w:tcW w:w="1870" w:type="dxa"/>
            <w:vAlign w:val="center"/>
          </w:tcPr>
          <w:p w14:paraId="0019110E" w14:textId="02B427A6" w:rsidR="00492868" w:rsidRPr="00EF17E8" w:rsidRDefault="00492868" w:rsidP="00EF1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от 100 000,01 до</w:t>
            </w:r>
            <w:r w:rsidR="00BF17F7" w:rsidRPr="00EF17E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  <w:r w:rsidR="00BF17F7" w:rsidRPr="00EF17E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000 рублей включительно</w:t>
            </w:r>
          </w:p>
        </w:tc>
        <w:tc>
          <w:tcPr>
            <w:tcW w:w="2031" w:type="dxa"/>
            <w:vAlign w:val="center"/>
          </w:tcPr>
          <w:p w14:paraId="63F212E9" w14:textId="46ACBBA3" w:rsidR="00492868" w:rsidRPr="00EF17E8" w:rsidRDefault="00492868" w:rsidP="00EF17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от 200 000,01 до</w:t>
            </w:r>
            <w:r w:rsidR="00BF17F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  <w:r w:rsidR="00BF17F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000 рублей включительно</w:t>
            </w:r>
          </w:p>
        </w:tc>
        <w:tc>
          <w:tcPr>
            <w:tcW w:w="1702" w:type="dxa"/>
            <w:vAlign w:val="center"/>
          </w:tcPr>
          <w:p w14:paraId="58CC56CD" w14:textId="6BA74569" w:rsidR="00492868" w:rsidRPr="00EF17E8" w:rsidRDefault="00BF17F7" w:rsidP="00BD70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выше</w:t>
            </w:r>
          </w:p>
          <w:p w14:paraId="322ACE5D" w14:textId="0B1ECE40" w:rsidR="00492868" w:rsidRPr="00EF17E8" w:rsidRDefault="00492868" w:rsidP="00BD70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500 000 рублей</w:t>
            </w:r>
          </w:p>
        </w:tc>
      </w:tr>
      <w:tr w:rsidR="00BF17F7" w:rsidRPr="00D456AB" w14:paraId="73D2C760" w14:textId="77777777" w:rsidTr="006463A3">
        <w:tc>
          <w:tcPr>
            <w:tcW w:w="2537" w:type="dxa"/>
            <w:vAlign w:val="center"/>
          </w:tcPr>
          <w:p w14:paraId="1DC66A88" w14:textId="6C55534F" w:rsidR="00492868" w:rsidRPr="00EF17E8" w:rsidRDefault="00492868" w:rsidP="00EF17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F17E8">
              <w:rPr>
                <w:rFonts w:ascii="Arial" w:hAnsi="Arial" w:cs="Arial"/>
                <w:sz w:val="20"/>
                <w:szCs w:val="20"/>
              </w:rPr>
              <w:t xml:space="preserve">При обороте </w:t>
            </w:r>
            <w:r w:rsidR="00477831" w:rsidRPr="00EF17E8">
              <w:rPr>
                <w:rFonts w:ascii="Arial" w:hAnsi="Arial" w:cs="Arial"/>
                <w:sz w:val="20"/>
                <w:szCs w:val="20"/>
              </w:rPr>
              <w:t>до</w:t>
            </w:r>
            <w:r w:rsidR="00477831">
              <w:rPr>
                <w:rFonts w:ascii="Arial" w:hAnsi="Arial" w:cs="Arial"/>
                <w:sz w:val="20"/>
                <w:szCs w:val="20"/>
              </w:rPr>
              <w:t> </w:t>
            </w:r>
            <w:r w:rsidR="00ED28F4" w:rsidRPr="00EF17E8">
              <w:rPr>
                <w:rFonts w:ascii="Arial" w:hAnsi="Arial" w:cs="Arial"/>
                <w:sz w:val="20"/>
                <w:szCs w:val="20"/>
              </w:rPr>
              <w:t>300</w:t>
            </w:r>
            <w:r w:rsidR="00ED28F4">
              <w:rPr>
                <w:rFonts w:ascii="Arial" w:hAnsi="Arial" w:cs="Arial"/>
                <w:sz w:val="20"/>
                <w:szCs w:val="20"/>
              </w:rPr>
              <w:t> </w:t>
            </w:r>
            <w:r w:rsidRPr="00EF17E8">
              <w:rPr>
                <w:rFonts w:ascii="Arial" w:hAnsi="Arial" w:cs="Arial"/>
                <w:sz w:val="20"/>
                <w:szCs w:val="20"/>
              </w:rPr>
              <w:t>000,00 рублей в одном терминале включительно</w:t>
            </w:r>
          </w:p>
        </w:tc>
        <w:tc>
          <w:tcPr>
            <w:tcW w:w="2126" w:type="dxa"/>
            <w:vAlign w:val="center"/>
          </w:tcPr>
          <w:p w14:paraId="5FF1A7E4" w14:textId="77777777" w:rsidR="00492868" w:rsidRPr="00EF17E8" w:rsidRDefault="00492868" w:rsidP="00BD70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  <w:tc>
          <w:tcPr>
            <w:tcW w:w="2410" w:type="dxa"/>
            <w:vAlign w:val="center"/>
          </w:tcPr>
          <w:p w14:paraId="54C2B06A" w14:textId="77777777" w:rsidR="00492868" w:rsidRPr="00EF17E8" w:rsidRDefault="00492868" w:rsidP="004928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2,10%</w:t>
            </w:r>
          </w:p>
        </w:tc>
        <w:tc>
          <w:tcPr>
            <w:tcW w:w="1910" w:type="dxa"/>
            <w:vMerge w:val="restart"/>
            <w:vAlign w:val="center"/>
          </w:tcPr>
          <w:p w14:paraId="4BF6C380" w14:textId="77777777" w:rsidR="00492868" w:rsidRPr="00EF17E8" w:rsidRDefault="00492868" w:rsidP="00BD70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1 490 рублей</w:t>
            </w:r>
          </w:p>
        </w:tc>
        <w:tc>
          <w:tcPr>
            <w:tcW w:w="1870" w:type="dxa"/>
            <w:vMerge w:val="restart"/>
            <w:vAlign w:val="center"/>
          </w:tcPr>
          <w:p w14:paraId="54B6DC0B" w14:textId="77777777" w:rsidR="00492868" w:rsidRPr="00EF17E8" w:rsidRDefault="00492868" w:rsidP="00BD70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1 290 рублей</w:t>
            </w:r>
          </w:p>
        </w:tc>
        <w:tc>
          <w:tcPr>
            <w:tcW w:w="2031" w:type="dxa"/>
            <w:vMerge w:val="restart"/>
            <w:vAlign w:val="center"/>
          </w:tcPr>
          <w:p w14:paraId="062463F9" w14:textId="77777777" w:rsidR="00492868" w:rsidRPr="00EF17E8" w:rsidRDefault="00492868" w:rsidP="00BD70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790 рублей</w:t>
            </w:r>
          </w:p>
        </w:tc>
        <w:tc>
          <w:tcPr>
            <w:tcW w:w="1702" w:type="dxa"/>
            <w:vMerge w:val="restart"/>
            <w:vAlign w:val="center"/>
          </w:tcPr>
          <w:p w14:paraId="3D1BEFFE" w14:textId="77777777" w:rsidR="00492868" w:rsidRPr="00EF17E8" w:rsidRDefault="00492868" w:rsidP="00BD70F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0 рублей</w:t>
            </w:r>
          </w:p>
        </w:tc>
      </w:tr>
      <w:tr w:rsidR="00BF17F7" w:rsidRPr="00D456AB" w14:paraId="246B291A" w14:textId="77777777" w:rsidTr="006463A3">
        <w:tc>
          <w:tcPr>
            <w:tcW w:w="2537" w:type="dxa"/>
            <w:vAlign w:val="center"/>
          </w:tcPr>
          <w:p w14:paraId="7837A17C" w14:textId="1B8F2C11" w:rsidR="00492868" w:rsidRPr="00EF17E8" w:rsidRDefault="00492868" w:rsidP="00EF17E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F17E8">
              <w:rPr>
                <w:rFonts w:ascii="Arial" w:hAnsi="Arial" w:cs="Arial"/>
                <w:sz w:val="20"/>
                <w:szCs w:val="20"/>
              </w:rPr>
              <w:t>При обороте свыше</w:t>
            </w:r>
            <w:r w:rsidR="00BF17F7" w:rsidRPr="00EF17E8">
              <w:rPr>
                <w:rFonts w:ascii="Arial" w:hAnsi="Arial" w:cs="Arial"/>
                <w:sz w:val="20"/>
                <w:szCs w:val="20"/>
              </w:rPr>
              <w:t> 300 </w:t>
            </w:r>
            <w:r w:rsidRPr="00EF17E8">
              <w:rPr>
                <w:rFonts w:ascii="Arial" w:hAnsi="Arial" w:cs="Arial"/>
                <w:sz w:val="20"/>
                <w:szCs w:val="20"/>
              </w:rPr>
              <w:t>000 рублей в одном терминале</w:t>
            </w:r>
          </w:p>
        </w:tc>
        <w:tc>
          <w:tcPr>
            <w:tcW w:w="2126" w:type="dxa"/>
            <w:vAlign w:val="center"/>
          </w:tcPr>
          <w:p w14:paraId="093B1CBE" w14:textId="77777777" w:rsidR="00492868" w:rsidRPr="00EF17E8" w:rsidRDefault="00492868" w:rsidP="00BD7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2,10%</w:t>
            </w:r>
          </w:p>
        </w:tc>
        <w:tc>
          <w:tcPr>
            <w:tcW w:w="2410" w:type="dxa"/>
            <w:vAlign w:val="center"/>
          </w:tcPr>
          <w:p w14:paraId="3BCA60E4" w14:textId="77777777" w:rsidR="00492868" w:rsidRPr="00EF17E8" w:rsidRDefault="00492868" w:rsidP="00BD70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17E8">
              <w:rPr>
                <w:rFonts w:ascii="Arial" w:hAnsi="Arial" w:cs="Arial"/>
                <w:color w:val="000000"/>
                <w:sz w:val="20"/>
                <w:szCs w:val="20"/>
              </w:rPr>
              <w:t>2,10%</w:t>
            </w:r>
          </w:p>
        </w:tc>
        <w:tc>
          <w:tcPr>
            <w:tcW w:w="1910" w:type="dxa"/>
            <w:vMerge/>
          </w:tcPr>
          <w:p w14:paraId="5DF3E9B0" w14:textId="77777777" w:rsidR="00492868" w:rsidRPr="00EF17E8" w:rsidRDefault="00492868" w:rsidP="00BD70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14:paraId="7158DD20" w14:textId="77777777" w:rsidR="00492868" w:rsidRPr="00EF17E8" w:rsidRDefault="00492868" w:rsidP="00BD70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14:paraId="79280CCF" w14:textId="77777777" w:rsidR="00492868" w:rsidRPr="00D456AB" w:rsidRDefault="00492868" w:rsidP="00BD70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10804887" w14:textId="77777777" w:rsidR="00492868" w:rsidRPr="00D456AB" w:rsidRDefault="00492868" w:rsidP="00BD70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49DEA" w14:textId="77777777" w:rsidR="00113EA7" w:rsidRPr="004C147C" w:rsidRDefault="00113EA7" w:rsidP="009C6CC8">
      <w:pPr>
        <w:rPr>
          <w:rFonts w:ascii="Arial" w:hAnsi="Arial" w:cs="Arial"/>
          <w:sz w:val="18"/>
          <w:szCs w:val="18"/>
        </w:rPr>
      </w:pPr>
    </w:p>
    <w:sectPr w:rsidR="00113EA7" w:rsidRPr="004C147C" w:rsidSect="0074536A">
      <w:pgSz w:w="16838" w:h="11906" w:orient="landscape"/>
      <w:pgMar w:top="1276" w:right="1134" w:bottom="1985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B5E0CC" w16cid:durableId="2BD6E8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E0F78" w14:textId="77777777" w:rsidR="00626761" w:rsidRDefault="00626761" w:rsidP="00113EA7">
      <w:pPr>
        <w:spacing w:after="0" w:line="240" w:lineRule="auto"/>
      </w:pPr>
      <w:r>
        <w:separator/>
      </w:r>
    </w:p>
  </w:endnote>
  <w:endnote w:type="continuationSeparator" w:id="0">
    <w:p w14:paraId="7F587167" w14:textId="77777777" w:rsidR="00626761" w:rsidRDefault="00626761" w:rsidP="0011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7C08D" w14:textId="77777777" w:rsidR="00626761" w:rsidRDefault="00626761" w:rsidP="00113EA7">
      <w:pPr>
        <w:spacing w:after="0" w:line="240" w:lineRule="auto"/>
      </w:pPr>
      <w:r>
        <w:separator/>
      </w:r>
    </w:p>
  </w:footnote>
  <w:footnote w:type="continuationSeparator" w:id="0">
    <w:p w14:paraId="3B9E48AF" w14:textId="77777777" w:rsidR="00626761" w:rsidRDefault="00626761" w:rsidP="00113EA7">
      <w:pPr>
        <w:spacing w:after="0" w:line="240" w:lineRule="auto"/>
      </w:pPr>
      <w:r>
        <w:continuationSeparator/>
      </w:r>
    </w:p>
  </w:footnote>
  <w:footnote w:id="1">
    <w:p w14:paraId="745FB628" w14:textId="0AA94B44" w:rsidR="00492868" w:rsidRPr="00C94731" w:rsidRDefault="00492868" w:rsidP="00EF17E8">
      <w:pPr>
        <w:pStyle w:val="a5"/>
        <w:jc w:val="both"/>
        <w:rPr>
          <w:rFonts w:ascii="Arial" w:hAnsi="Arial" w:cs="Arial"/>
          <w:sz w:val="16"/>
          <w:szCs w:val="16"/>
        </w:rPr>
      </w:pPr>
      <w:r w:rsidRPr="00EF17E8">
        <w:rPr>
          <w:rStyle w:val="a7"/>
          <w:rFonts w:ascii="Arial" w:hAnsi="Arial" w:cs="Arial"/>
          <w:sz w:val="16"/>
          <w:szCs w:val="16"/>
        </w:rPr>
        <w:footnoteRef/>
      </w:r>
      <w:r w:rsidRPr="00EF17E8">
        <w:rPr>
          <w:rFonts w:ascii="Arial" w:hAnsi="Arial" w:cs="Arial"/>
          <w:sz w:val="16"/>
          <w:szCs w:val="16"/>
        </w:rPr>
        <w:t xml:space="preserve"> </w:t>
      </w:r>
      <w:r w:rsidRPr="006463A3">
        <w:rPr>
          <w:rFonts w:ascii="Arial" w:hAnsi="Arial" w:cs="Arial"/>
          <w:sz w:val="16"/>
          <w:szCs w:val="16"/>
        </w:rPr>
        <w:t xml:space="preserve">На дату </w:t>
      </w:r>
      <w:r w:rsidR="008E6CF2">
        <w:rPr>
          <w:rFonts w:ascii="Arial" w:hAnsi="Arial" w:cs="Arial"/>
          <w:sz w:val="16"/>
          <w:szCs w:val="16"/>
        </w:rPr>
        <w:t>обращения в Банк с Заявлением</w:t>
      </w:r>
      <w:r w:rsidRPr="00C94731">
        <w:rPr>
          <w:rFonts w:ascii="Arial" w:hAnsi="Arial" w:cs="Arial"/>
          <w:sz w:val="16"/>
          <w:szCs w:val="16"/>
        </w:rPr>
        <w:t xml:space="preserve"> установленный размер Комиссионного вознаграждения действует в течение следующих 4-х (четырех) календарных месяцев с даты </w:t>
      </w:r>
      <w:r w:rsidR="008E6CF2">
        <w:rPr>
          <w:rFonts w:ascii="Arial" w:hAnsi="Arial" w:cs="Arial"/>
          <w:sz w:val="16"/>
          <w:szCs w:val="16"/>
        </w:rPr>
        <w:t>обращения в Банк с Заявлением</w:t>
      </w:r>
      <w:r w:rsidRPr="00C94731">
        <w:rPr>
          <w:rFonts w:ascii="Arial" w:hAnsi="Arial" w:cs="Arial"/>
          <w:sz w:val="16"/>
          <w:szCs w:val="16"/>
        </w:rPr>
        <w:t xml:space="preserve">, включая месяц </w:t>
      </w:r>
      <w:r w:rsidR="008E6CF2">
        <w:rPr>
          <w:rFonts w:ascii="Arial" w:hAnsi="Arial" w:cs="Arial"/>
          <w:sz w:val="16"/>
          <w:szCs w:val="16"/>
        </w:rPr>
        <w:t>обращения в Банк с Заявлением</w:t>
      </w:r>
      <w:r w:rsidRPr="00C94731">
        <w:rPr>
          <w:rFonts w:ascii="Arial" w:hAnsi="Arial" w:cs="Arial"/>
          <w:sz w:val="16"/>
          <w:szCs w:val="16"/>
        </w:rPr>
        <w:t xml:space="preserve">, независимо от календарной даты </w:t>
      </w:r>
      <w:r w:rsidR="008E6CF2">
        <w:rPr>
          <w:rFonts w:ascii="Arial" w:hAnsi="Arial" w:cs="Arial"/>
          <w:sz w:val="16"/>
          <w:szCs w:val="16"/>
        </w:rPr>
        <w:t>обращения</w:t>
      </w:r>
      <w:r w:rsidRPr="00C94731">
        <w:rPr>
          <w:rFonts w:ascii="Arial" w:hAnsi="Arial" w:cs="Arial"/>
          <w:sz w:val="16"/>
          <w:szCs w:val="16"/>
        </w:rPr>
        <w:t>.</w:t>
      </w:r>
    </w:p>
  </w:footnote>
  <w:footnote w:id="2">
    <w:p w14:paraId="16DC18FD" w14:textId="4B608CF4" w:rsidR="00492868" w:rsidRPr="00EF17E8" w:rsidRDefault="00492868" w:rsidP="00EF17E8">
      <w:pPr>
        <w:pStyle w:val="a5"/>
        <w:jc w:val="both"/>
        <w:rPr>
          <w:rFonts w:ascii="Arial" w:hAnsi="Arial" w:cs="Arial"/>
          <w:sz w:val="16"/>
          <w:szCs w:val="16"/>
        </w:rPr>
      </w:pPr>
      <w:r w:rsidRPr="00EF17E8">
        <w:rPr>
          <w:rStyle w:val="a7"/>
          <w:rFonts w:ascii="Arial" w:hAnsi="Arial" w:cs="Arial"/>
          <w:sz w:val="16"/>
          <w:szCs w:val="16"/>
        </w:rPr>
        <w:footnoteRef/>
      </w:r>
      <w:r w:rsidRPr="00EF17E8">
        <w:rPr>
          <w:rFonts w:ascii="Arial" w:hAnsi="Arial" w:cs="Arial"/>
          <w:sz w:val="16"/>
          <w:szCs w:val="16"/>
        </w:rPr>
        <w:t xml:space="preserve"> Пересчет ставки Комиссионного вознаграждения осуществляется, начиная с 5-го (пятого) календарного месяца с даты </w:t>
      </w:r>
      <w:r w:rsidR="008E6CF2">
        <w:rPr>
          <w:rFonts w:ascii="Arial" w:hAnsi="Arial" w:cs="Arial"/>
          <w:sz w:val="16"/>
          <w:szCs w:val="16"/>
        </w:rPr>
        <w:t>обращения в Банк с Заявлением</w:t>
      </w:r>
      <w:r w:rsidR="004C147C" w:rsidRPr="00EF17E8">
        <w:rPr>
          <w:rFonts w:ascii="Arial" w:hAnsi="Arial" w:cs="Arial"/>
          <w:sz w:val="16"/>
          <w:szCs w:val="16"/>
        </w:rPr>
        <w:t xml:space="preserve">, включая месяц </w:t>
      </w:r>
      <w:r w:rsidR="008E6CF2">
        <w:rPr>
          <w:rFonts w:ascii="Arial" w:hAnsi="Arial" w:cs="Arial"/>
          <w:sz w:val="16"/>
          <w:szCs w:val="16"/>
        </w:rPr>
        <w:t>обращения в Банк с Заявлением</w:t>
      </w:r>
      <w:r w:rsidR="004C147C" w:rsidRPr="00EF17E8">
        <w:rPr>
          <w:rFonts w:ascii="Arial" w:hAnsi="Arial" w:cs="Arial"/>
          <w:sz w:val="16"/>
          <w:szCs w:val="16"/>
        </w:rPr>
        <w:t xml:space="preserve">, независимо от календарной даты </w:t>
      </w:r>
      <w:r w:rsidR="008E6CF2">
        <w:rPr>
          <w:rFonts w:ascii="Arial" w:hAnsi="Arial" w:cs="Arial"/>
          <w:sz w:val="16"/>
          <w:szCs w:val="16"/>
        </w:rPr>
        <w:t>обращения</w:t>
      </w:r>
      <w:r w:rsidR="004C147C" w:rsidRPr="00EF17E8">
        <w:rPr>
          <w:rFonts w:ascii="Arial" w:hAnsi="Arial" w:cs="Arial"/>
          <w:sz w:val="16"/>
          <w:szCs w:val="16"/>
        </w:rPr>
        <w:t>.</w:t>
      </w:r>
    </w:p>
  </w:footnote>
  <w:footnote w:id="3">
    <w:p w14:paraId="14B77083" w14:textId="77777777" w:rsidR="00492868" w:rsidRPr="00EF17E8" w:rsidRDefault="00492868" w:rsidP="00EF17E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F17E8">
        <w:rPr>
          <w:rStyle w:val="a7"/>
          <w:rFonts w:ascii="Arial" w:hAnsi="Arial" w:cs="Arial"/>
          <w:sz w:val="16"/>
          <w:szCs w:val="16"/>
        </w:rPr>
        <w:footnoteRef/>
      </w:r>
      <w:r w:rsidRPr="00EF17E8">
        <w:rPr>
          <w:rFonts w:ascii="Arial" w:hAnsi="Arial" w:cs="Arial"/>
          <w:sz w:val="16"/>
          <w:szCs w:val="16"/>
        </w:rPr>
        <w:t xml:space="preserve"> Процессинговая плата взимается в следующем порядке:</w:t>
      </w:r>
    </w:p>
    <w:p w14:paraId="5C6419D2" w14:textId="14352986" w:rsidR="00492868" w:rsidRPr="00EF17E8" w:rsidRDefault="00492868" w:rsidP="00EF17E8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EF17E8">
        <w:rPr>
          <w:rFonts w:ascii="Arial" w:hAnsi="Arial" w:cs="Arial"/>
          <w:sz w:val="16"/>
          <w:szCs w:val="16"/>
        </w:rPr>
        <w:t xml:space="preserve">в течении 4 (четырех) календарных месяцев с </w:t>
      </w:r>
      <w:r w:rsidR="00436E92">
        <w:rPr>
          <w:rFonts w:ascii="Arial" w:hAnsi="Arial" w:cs="Arial"/>
          <w:sz w:val="16"/>
          <w:szCs w:val="16"/>
        </w:rPr>
        <w:t>обращения в Банк с Заявлением</w:t>
      </w:r>
      <w:r w:rsidRPr="00EF17E8">
        <w:rPr>
          <w:rFonts w:ascii="Arial" w:hAnsi="Arial" w:cs="Arial"/>
          <w:sz w:val="16"/>
          <w:szCs w:val="16"/>
        </w:rPr>
        <w:t xml:space="preserve">, включая месяц </w:t>
      </w:r>
      <w:r w:rsidR="00DD4CCF">
        <w:rPr>
          <w:rFonts w:ascii="Arial" w:hAnsi="Arial" w:cs="Arial"/>
          <w:sz w:val="16"/>
          <w:szCs w:val="16"/>
        </w:rPr>
        <w:t>обращения в Банк с Заявлением</w:t>
      </w:r>
      <w:r w:rsidRPr="00EF17E8">
        <w:rPr>
          <w:rFonts w:ascii="Arial" w:hAnsi="Arial" w:cs="Arial"/>
          <w:sz w:val="16"/>
          <w:szCs w:val="16"/>
        </w:rPr>
        <w:t xml:space="preserve">, независимо от календарной даты </w:t>
      </w:r>
      <w:r w:rsidR="00DD4CCF">
        <w:rPr>
          <w:rFonts w:ascii="Arial" w:hAnsi="Arial" w:cs="Arial"/>
          <w:sz w:val="16"/>
          <w:szCs w:val="16"/>
        </w:rPr>
        <w:t>обращения</w:t>
      </w:r>
      <w:r w:rsidRPr="00EF17E8">
        <w:rPr>
          <w:rFonts w:ascii="Arial" w:hAnsi="Arial" w:cs="Arial"/>
          <w:sz w:val="16"/>
          <w:szCs w:val="16"/>
        </w:rPr>
        <w:t xml:space="preserve"> Процессинговая плата не взимается;</w:t>
      </w:r>
    </w:p>
    <w:p w14:paraId="073F6B07" w14:textId="7F25C2D4" w:rsidR="00492868" w:rsidRPr="00EF17E8" w:rsidRDefault="00492868" w:rsidP="00EF17E8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16"/>
          <w:szCs w:val="16"/>
        </w:rPr>
      </w:pPr>
      <w:r w:rsidRPr="00EF17E8">
        <w:rPr>
          <w:rFonts w:ascii="Arial" w:hAnsi="Arial" w:cs="Arial"/>
          <w:sz w:val="16"/>
          <w:szCs w:val="16"/>
        </w:rPr>
        <w:t xml:space="preserve">размер Процессинговой платы рассчитывается ежемесячно и удерживается начиная со 2 (второго) рабочего дня месяца, следующего за расчетным периодом (не включая четырех календарных месяцев с </w:t>
      </w:r>
      <w:r w:rsidR="00DD4CCF">
        <w:rPr>
          <w:rFonts w:ascii="Arial" w:hAnsi="Arial" w:cs="Arial"/>
          <w:sz w:val="16"/>
          <w:szCs w:val="16"/>
        </w:rPr>
        <w:t>обращения в Банк с Заявлением</w:t>
      </w:r>
      <w:r w:rsidRPr="00EF17E8">
        <w:rPr>
          <w:rFonts w:ascii="Arial" w:hAnsi="Arial" w:cs="Arial"/>
          <w:sz w:val="16"/>
          <w:szCs w:val="16"/>
        </w:rPr>
        <w:t xml:space="preserve">, независимо от календарной даты </w:t>
      </w:r>
      <w:r w:rsidR="00DD4CCF">
        <w:rPr>
          <w:rFonts w:ascii="Arial" w:hAnsi="Arial" w:cs="Arial"/>
          <w:sz w:val="16"/>
          <w:szCs w:val="16"/>
        </w:rPr>
        <w:t>обращения в Банк с Заявлением,</w:t>
      </w:r>
      <w:r w:rsidR="00ED28F4">
        <w:rPr>
          <w:rFonts w:ascii="Arial" w:hAnsi="Arial" w:cs="Arial"/>
          <w:sz w:val="16"/>
          <w:szCs w:val="16"/>
        </w:rPr>
        <w:t xml:space="preserve"> </w:t>
      </w:r>
      <w:r w:rsidRPr="00EF17E8">
        <w:rPr>
          <w:rFonts w:ascii="Arial" w:hAnsi="Arial" w:cs="Arial"/>
          <w:sz w:val="16"/>
          <w:szCs w:val="16"/>
        </w:rPr>
        <w:t xml:space="preserve">включая месяц </w:t>
      </w:r>
      <w:r w:rsidR="00DD4CCF">
        <w:rPr>
          <w:rFonts w:ascii="Arial" w:hAnsi="Arial" w:cs="Arial"/>
          <w:sz w:val="16"/>
          <w:szCs w:val="16"/>
        </w:rPr>
        <w:t>обращения</w:t>
      </w:r>
      <w:r w:rsidRPr="00EF17E8">
        <w:rPr>
          <w:rFonts w:ascii="Arial" w:hAnsi="Arial" w:cs="Arial"/>
          <w:sz w:val="16"/>
          <w:szCs w:val="16"/>
        </w:rPr>
        <w:t xml:space="preserve">) и устанавливается на основании следующих критериев: диапазон оборотов, </w:t>
      </w:r>
      <w:r w:rsidR="00BF17F7" w:rsidRPr="00EF17E8">
        <w:rPr>
          <w:rFonts w:ascii="Arial" w:hAnsi="Arial" w:cs="Arial"/>
          <w:sz w:val="16"/>
          <w:szCs w:val="16"/>
        </w:rPr>
        <w:t xml:space="preserve">рассчитанный </w:t>
      </w:r>
      <w:r w:rsidRPr="00EF17E8">
        <w:rPr>
          <w:rFonts w:ascii="Arial" w:hAnsi="Arial" w:cs="Arial"/>
          <w:sz w:val="16"/>
          <w:szCs w:val="16"/>
        </w:rPr>
        <w:t>как сумма оборотов по активным терминалам за предыдущий календарный месяц</w:t>
      </w:r>
      <w:bookmarkStart w:id="0" w:name="_GoBack"/>
      <w:r w:rsidR="00BF17F7" w:rsidRPr="00EF17E8">
        <w:rPr>
          <w:rFonts w:ascii="Arial" w:hAnsi="Arial" w:cs="Arial"/>
          <w:sz w:val="16"/>
          <w:szCs w:val="16"/>
        </w:rPr>
        <w:t>,</w:t>
      </w:r>
      <w:bookmarkEnd w:id="0"/>
      <w:r w:rsidRPr="00EF17E8">
        <w:rPr>
          <w:rFonts w:ascii="Arial" w:hAnsi="Arial" w:cs="Arial"/>
          <w:sz w:val="16"/>
          <w:szCs w:val="16"/>
        </w:rPr>
        <w:t xml:space="preserve"> поделённая на количество активных терминалов в предыдущем календарном месяце.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A1807"/>
    <w:multiLevelType w:val="hybridMultilevel"/>
    <w:tmpl w:val="D30E71E0"/>
    <w:lvl w:ilvl="0" w:tplc="CF84B3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66"/>
    <w:rsid w:val="00052CDA"/>
    <w:rsid w:val="00086B8E"/>
    <w:rsid w:val="00113EA7"/>
    <w:rsid w:val="00202BD7"/>
    <w:rsid w:val="00234366"/>
    <w:rsid w:val="00436E92"/>
    <w:rsid w:val="00477831"/>
    <w:rsid w:val="00492868"/>
    <w:rsid w:val="004C147C"/>
    <w:rsid w:val="0050195D"/>
    <w:rsid w:val="00626761"/>
    <w:rsid w:val="00645A9E"/>
    <w:rsid w:val="006463A3"/>
    <w:rsid w:val="00671153"/>
    <w:rsid w:val="006E7252"/>
    <w:rsid w:val="0074536A"/>
    <w:rsid w:val="008E6CF2"/>
    <w:rsid w:val="00967EB9"/>
    <w:rsid w:val="009C6CC8"/>
    <w:rsid w:val="00B25D86"/>
    <w:rsid w:val="00BF17F7"/>
    <w:rsid w:val="00C45FD2"/>
    <w:rsid w:val="00C94731"/>
    <w:rsid w:val="00D456AB"/>
    <w:rsid w:val="00DD4CCF"/>
    <w:rsid w:val="00E358C8"/>
    <w:rsid w:val="00E64205"/>
    <w:rsid w:val="00ED28F4"/>
    <w:rsid w:val="00EF17E8"/>
    <w:rsid w:val="00F92A0E"/>
    <w:rsid w:val="00F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2487"/>
  <w15:chartTrackingRefBased/>
  <w15:docId w15:val="{3D79FA8B-C472-4227-9B1F-91FC8E57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EA7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113EA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3EA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13EA7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113EA7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113EA7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13EA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BF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F17F7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F17F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F17F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F17F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F17F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F17F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EF17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D039-743F-4DAA-AEB4-EB4C75F3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Мищенко Владислав Олегович</dc:creator>
  <cp:keywords/>
  <dc:description/>
  <cp:lastModifiedBy>Мищенко Владислав Олегович</cp:lastModifiedBy>
  <cp:revision>2</cp:revision>
  <dcterms:created xsi:type="dcterms:W3CDTF">2025-05-22T13:10:00Z</dcterms:created>
  <dcterms:modified xsi:type="dcterms:W3CDTF">2025-05-22T13:10:00Z</dcterms:modified>
</cp:coreProperties>
</file>