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11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-542924</wp:posOffset>
                </wp:positionH>
                <wp:positionV relativeFrom="paragraph">
                  <wp:posOffset>-194309</wp:posOffset>
                </wp:positionV>
                <wp:extent cx="10734675" cy="584679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cNvPr id="13" name="Группа 3"/>
                      <wpg:grpSpPr>
                        <a:xfrm>
                          <a:off x="0" y="0"/>
                          <a:ext cx="10734675" cy="584679"/>
                          <a:chOff x="0" y="0"/>
                          <a:chExt cx="9153126" cy="584679"/>
                        </a:xfrm>
                      </wpg:grpSpPr>
                      <wps:wsp>
                        <wps:cNvSpPr txBox="1"/>
                        <wps:cNvPr id="14" name="TextBox 1"/>
                        <wps:spPr>
                          <a:xfrm>
                            <a:off x="7516937" y="118932"/>
                            <a:ext cx="136779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 id="1"/>
                        <wps:bodyPr rtlCol="0" wrap="square">
                          <a:noAutofit/>
                        </wps:bodyPr>
                      </wps:wsp>
                      <wps:wsp>
                        <wps:cNvSpPr/>
                        <wps:cNvPr id="15" name="Прямоугольник 15"/>
                        <wps:spPr>
                          <a:xfrm>
                            <a:off x="9126" y="538960"/>
                            <a:ext cx="9144000" cy="45719"/>
                          </a:xfrm>
                          <a:prstGeom prst="rect">
                            <a:avLst/>
                          </a:prstGeom>
                          <a:solidFill>
                            <a:srgbClr val="74AA5C"/>
                          </a:solidFill>
                          <a:ln cap="flat" cmpd="sng" w="12700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 rtlCol="0"/>
                      </wps:wsp>
                      <wps:wsp>
                        <wps:cNvSpPr/>
                        <wps:cNvPr id="16" name="Прямоугольник 16"/>
                        <wps:spPr>
                          <a:xfrm>
                            <a:off x="0" y="493241"/>
                            <a:ext cx="9144000" cy="45719"/>
                          </a:xfrm>
                          <a:prstGeom prst="rect">
                            <a:avLst/>
                          </a:prstGeom>
                          <a:solidFill>
                            <a:srgbClr val="FAD81A"/>
                          </a:solidFill>
                          <a:ln cap="flat" cmpd="sng" w="12700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 rtlCol="0"/>
                      </wps:wsp>
                      <pic:pic>
                        <pic:nvPicPr>
                          <pic:cNvPr descr="C:\Users\CherkasovaKA\Desktop\РБ\Лого\Лого_БАНК.png"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353" y="0"/>
                            <a:ext cx="1656822" cy="3960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-542924</wp:posOffset>
                </wp:positionH>
                <wp:positionV relativeFrom="paragraph">
                  <wp:posOffset>-194309</wp:posOffset>
                </wp:positionV>
                <wp:extent cx="10734675" cy="58467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4675" cy="5846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Arial" w:cs="Arial" w:eastAsia="Arial" w:hAnsi="Arial"/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Arial" w:cs="Arial" w:eastAsia="Arial" w:hAnsi="Arial"/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vertAlign w:val="baseline"/>
          <w:rtl w:val="0"/>
        </w:rPr>
        <w:t xml:space="preserve">ТАРИФЫ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ПАО «БАНК УРАЛСИБ» для физических лиц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«Обслуживание дебетовых карт с кредитной линией»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(в российских рублях)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Тарифный план «120 дней на максимум»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vertAlign w:val="baseline"/>
          <w:rtl w:val="0"/>
        </w:rPr>
        <w:t xml:space="preserve">Тарифы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действуют с.2021 (Приказ от.2021 №)</w:t>
      </w:r>
      <w:r w:rsidDel="00000000" w:rsidR="00000000" w:rsidRPr="00000000">
        <w:rPr>
          <w:rtl w:val="0"/>
        </w:rPr>
      </w:r>
    </w:p>
    <w:tbl>
      <w:tblPr>
        <w:tblStyle w:val="Table1"/>
        <w:tblW w:w="15184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2"/>
        <w:gridCol w:w="7656"/>
        <w:gridCol w:w="6946"/>
        <w:tblGridChange w:id="0">
          <w:tblGrid>
            <w:gridCol w:w="582"/>
            <w:gridCol w:w="7656"/>
            <w:gridCol w:w="6946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gridSpan w:val="2"/>
            <w:shd w:fill="f2f2f2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ПЕРЕЧЕНЬ УСЛУГ И УСЛОВИЙ ОБСЛУЖИВАНИЯ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VISA REWARDS «120 ДНЕЙ НА МАКСИМУМ»,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VISA REWARDS «120 ДНЕЙ НА МАКСИМУМ» NON PERSONALISED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Срок действия Карты: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-56" w:right="-56" w:firstLine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2"/>
                <w:szCs w:val="12"/>
                <w:vertAlign w:val="baseline"/>
                <w:rtl w:val="0"/>
              </w:rPr>
              <w:t xml:space="preserve">4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Валюта Картсчета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-56" w:right="-56" w:firstLine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2"/>
                <w:szCs w:val="12"/>
                <w:vertAlign w:val="baseline"/>
                <w:rtl w:val="0"/>
              </w:rPr>
              <w:t xml:space="preserve">РОССИЙСКИЙ РУБЛЬ (ДАЛЕЕ – РУБ.)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Выпуск Основной / Дополнительной карты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-56"/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Перевыпуск Основной / Дополнительной карты по окончании срока действия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right="-56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ind w:left="-56" w:right="-56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Комиссия за подключение Основной / Дополнительной карты к сервисам расчетно-кассового обслуживания Банка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3.1.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При выпуске Карты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-56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3.2.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По истечении второго и каждого последующего месяца действия Основной / Дополнительной карты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-56" w:right="-56" w:firstLine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99 руб. в месяц / </w:t>
            </w:r>
          </w:p>
          <w:p w:rsidR="00000000" w:rsidDel="00000000" w:rsidP="00000000" w:rsidRDefault="00000000" w:rsidRPr="00000000" w14:paraId="00000023">
            <w:pPr>
              <w:ind w:left="-56" w:right="-56" w:firstLine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(при выполнении Условия в соответствии с п.4 Тарифов)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Условия, при выполнении одного из которых, комиссия за подключение Основной / Дополнительной карты к сервисам расчетно-кассового обслуживания Банка не взимается: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4.1.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Условие 1: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минимальный объем ежемесячных расходных безналичных операций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по Основной и Дополнительной карте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-56" w:right="-56" w:firstLine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10 000 руб.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Перевыпуск Основной / Дополнительной карты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в случаях утраты, порчи Карты или смены фамилии / имени / отчества Держателя, утрате ПИН-кода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5.1.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3" w:right="0" w:hanging="423"/>
              <w:jc w:val="both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 новым сроком действия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5.2.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3" w:right="0" w:hanging="423"/>
              <w:jc w:val="both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 прежним сроком действия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 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Блокировка авторизаций по Карте при ее утере / краже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Выдача наличных денежных средств по Карте в пунктах выдачи наличных (далее – ПВН) и банкоматах, организованных: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7.1.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162"/>
              </w:tabs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Структурными подразделениями ПАО «БАНК УРАЛСИБ» и банками согласно перечню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7.2.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162"/>
              </w:tabs>
              <w:jc w:val="both"/>
              <w:rPr>
                <w:rFonts w:ascii="Arial" w:cs="Arial" w:eastAsia="Arial" w:hAnsi="Arial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Другими банками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Выдача наличных денежных средств с Картсчета (без использования Карты) в ПВН, организованных филиалом ПАО «БАНК УРАЛСИБ», в котором открыт данный Картсчет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20"/>
              </w:tabs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3,99% от суммы операции, плюс 300 руб.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Оплата товаров и услуг с использованием Карты или её реквизитов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(в т.ч. в банкоматах и прочих платежных устройствах)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Зачисление на Картсчет денежных средств, внесенных посредством банкоматов с функцией приема наличных денежных средств и банковских платежных терминалов (далее – БПТ)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12, 13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10.1.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в банкоматах и БПТ ПАО «БАНК УРАЛСИБ»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10.2.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в банкоматах банков согласно перечню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Безналичный перевод денежных средств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в банкоматах и БПТ ПАО «БАНК УРАЛСИБ»: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11.1.1.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с Карты ПАО «БАНК УРАЛСИБ» на Карту ПАО «БАНК УРАЛСИБ»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11.1.2.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с Карты ПАО «БАНК УРАЛСИБ»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14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на Карту банков согласно перечню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1,5% от суммы операции, но не менее 60 руб. 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11.1.3.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с Карты Visa ПАО «БАНК УРАЛСИБ» на Карту Visa/MasterCard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1,5% от суммы операции, но не менее 60 руб.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в банкоматах банков согласно перечню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 с Карты ПАО «БАНК УРАЛСИБ»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14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на Карту ПАО «БАНК УРАЛСИБ» и банков согласно перечню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1,0% от суммы операции, но не менее 30 руб.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в других коммерческих организациях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с Карты ПАО «БАНК УРАЛСИБ» на другую Карту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1,0% от суммы операции, но не менее 60 руб.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11.4.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в интернет-каналах ПАО «БАНК УРАЛСИБ: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11.4.1.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с Карты ПАО «БАНК УРАЛСИБ» на Карту ПАО «БАНК УРАЛСИБ»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11.4.2.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0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с Карты ПАО «БАНК УРАЛСИБ»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14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на Карту банков согласно перечню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1,5% от суммы операции, но не менее 60 руб.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11.4.3.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с Карты Visa ПАО «БАНК УРАЛСИБ» на Карту Мир/Visa/MasterCard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1,5% от суммы операции, но не менее 60 руб.  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Квази-кэш операции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3,99% от суммы операции, плюс 300 руб.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Конвертация средств при проведении операций зачисления/списания по Карте, совершенных в валюте отличной от валюты Картсчета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Производится по курсу, установленному Банком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Смена ПИН-кода / Разблокировка Карты Держателем Карты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 12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с использованием банкоматов ПАО «БАНК УРАЛСИБ»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в банкоматах, организованных сторонними банками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50 руб.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Установка ПИН-кода Держателем Карты с использованием технологии IVR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Предоставление информации о доступном остатке денежных средств через банкоматы, организованные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16.1.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ПАО «БАНК УРАЛСИБ»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16.2.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сторонними банками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 руб. за каждый запрос 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Услуга «SMS-сервис»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59 руб. / ежемесячно, первые 2 месяца – комиссия не взимается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Информирование об индивидуальном лицевом счете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в системе обязательного пенсионного страхования для застрахованных лиц: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18.1.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Регистрация / отказ от услуги информирования ПФР на основании письменного заявления клиента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right="-31"/>
              <w:jc w:val="center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pos="162"/>
              </w:tabs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Обслуживание Неактивного карточного счета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21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19.1.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в случае отсутствия операций по счету от 365 до 730 дней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pos="162"/>
              </w:tabs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199 руб. в месяц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19.2.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в случае отсутствия операций по счету от 730 дней (включительно)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pos="162"/>
              </w:tabs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250 руб. в месяц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right="-3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Дебетовая карта с кредитной линией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pos="162"/>
              </w:tabs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20.1.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Процентная ставка по кредиту, годовых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pos="162"/>
              </w:tabs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от 11,9% до 26,9%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20.2.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Льготный период кредитования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pos="162"/>
              </w:tabs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Не более четырех календарных месяцев</w:t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ind w:right="-31"/>
              <w:jc w:val="center"/>
              <w:rPr>
                <w:rFonts w:ascii="Arial" w:cs="Arial" w:eastAsia="Arial" w:hAnsi="Arial"/>
                <w:i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1"/>
                <w:sz w:val="16"/>
                <w:szCs w:val="16"/>
                <w:vertAlign w:val="baseline"/>
                <w:rtl w:val="0"/>
              </w:rPr>
              <w:t xml:space="preserve">20.3.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Пени за просроченную задолженность по кредиту (основному долгу) и/или уплате процентов за пользование кредитом, а также за неисполнение обязательств по своевременному погашению суммы Технической задолженности и процентов, начисленных на сумму Технической задолженности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pos="162"/>
              </w:tabs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0,05% от суммы просроченной задолженности за каждый день просрочки платежа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50.0" w:type="dxa"/>
        <w:jc w:val="center"/>
        <w:tblLayout w:type="fixed"/>
        <w:tblLook w:val="0000"/>
      </w:tblPr>
      <w:tblGrid>
        <w:gridCol w:w="383"/>
        <w:gridCol w:w="14667"/>
        <w:tblGridChange w:id="0">
          <w:tblGrid>
            <w:gridCol w:w="383"/>
            <w:gridCol w:w="14667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right="64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Взимание комиссии за проведение операций по Картсчету (безналичные перечисления, зачисления, конвертации денежных средств по счету) производится в момент совершения операции в размере, предусмотренном соответствующими тарифами ПАО «БАНК УРАЛСИБ» (далее – Банк), за исключением «Перечня операций физических лиц, не подлежащих отдельной тарификации».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right="64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Оплата Тарифов Банка производится в валюте Картсчета: РУБ. – российские рубли. 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right="64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Подключение Карты к сервисам расчетно-кассового обслуживания осуществляется при выпуске/перевыпуске Карты, а также по истечении каждого календарного месяца действия Карты.</w:t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right="64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за подключение Основной / Дополнительной карты к сервисам расчетно-кассового обслуживания Банка не взимается: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2"/>
              </w:numPr>
              <w:ind w:left="369" w:right="64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за календарный месяц, в котором была получена карта и следующий за ним календарный месяц; 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ind w:left="369" w:right="64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по истечению двух календарных месяцев, в случае отсутствия, любых совершенных клиентом финансовых операций по договору с даты выдачи карты, без учета операций, инициированных банком, а также нефинансовых транзакций;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2"/>
              </w:numPr>
              <w:ind w:left="369" w:right="64" w:hanging="36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в иных, определенных Банком, случаях.</w:t>
            </w:r>
          </w:p>
        </w:tc>
      </w:tr>
      <w:tr>
        <w:trPr>
          <w:cantSplit w:val="0"/>
          <w:trHeight w:val="15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Под расходные безналичные операции не попадают следующие операции: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получение наличных денежных средств через банкоматы и ПВН; пополнение Картсчета путем внесения наличных денежных средств или безналичным перечислением; перевод денежных средств на текущие, депозитные и иные счета, открытые в Банке, а также на все счета, открытые физическим лицом в других кредитных организациях, инвестиционных компаниях, управляющих компаниях, негосударственных пенсионных фондах; валютообменные операции; погашение задолженности путем безналичного перечисления с Картсчета; перевод денежных средств с карты на карту; оплата членских и других взносов в благотворительные, политические организации, гражданские ассоциации; оплата налогов; оплата жилищно-коммунальных услуг; оплата телефона (мобильной и стационарной связи), телекоммуникационных услуг; оплата услуг, связанных с предпринимательской деятельностью; покупка дорожных чеков и/или лотерейных билетов, ценных бумаг, драгоценных металлов, а также операции по оплате ставок и пари в казино и других игорных заведениях, в том числе через Интернет, пополнение «виртуальных кошельков», при наличии у операции признака «quasi-cash»; оплата страховых премий и взносов; оплата услуг, совершенных в системе дистанционного банковского обслуживания физических лиц, через страницу оплат 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sz w:val="16"/>
                  <w:szCs w:val="16"/>
                  <w:vertAlign w:val="baseline"/>
                  <w:rtl w:val="0"/>
                </w:rPr>
                <w:t xml:space="preserve">https://oplata.uralsibbank.ru/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 и через Платежные терминалы Банка. 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right="64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В минимальный объем ежемесячных расходных безналичных операций включаются операции по оплате товаров, работ и услуг с использованием Основной и/или Дополнительной карты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VISA REWARDS «120 ДНЕЙ НА МАКСИМУМ», VISA REWARDS «120 ДНЕЙ НА МАКСИМУМ» NON PERSONALISED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16"/>
                <w:szCs w:val="16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выпущенные к одному Картсчету.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В случае если Карта была скомпрометирована, перевыпуск Карты осуществляется только на прежний срок без взимания комиссии. 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Перечень банков размещен на сайте Банка www.uralsib.ru.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При снятии наличных денежных средств в банкоматах (в иностранной валюте) и ПВН, организованных сторонними банками, к комиссионному вознаграждению Банка дополнительно может удерживаться комиссионное вознаграждение банка – владельца ПВН или банкомата.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Выдача наличных денежных средств с Картсчета (без использования карты) в ПВН, организованных сторонними филиалами Банка, не производится.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может взиматься с плательщика, в случае если оплата данной комиссии предусмотрена по договору, заключенному с получателем платежа (комиссию забирает получатель платежа). Сведения об удержании либо не удержании комиссии с плательщика при платежах в пользу конкретных получателей предоставляются Держателю карты на экране платежного устройства в момент совершения операции или на информационных стендах, расположенных в непосредственной близости с платежными устройствами.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Предоставляется при наличии технической возможности.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Денежные средства, внесенные посредством банкоматов с функцией «приема наличных денежных средств» и банковских платежных терминалов, поступят на Картсчет не позднее следующего операционного дня. Под операционным днем подразумевается период, в течение которого в Банке производится прием и обслуживание Клиентов (кроме субботы, воскресенья и праздничных дней, в которые обработка транзакций не производится). При внесении денежных средств посредством устройств, организованных другими банками, может удерживаться комиссионное вознаграждение банка – владельца устройства.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Перевод денежных средств осуществляется в российских рублях. Комиссия взимается с Картсчета, с которого производится перевод.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Карта Visa/MasterCard – любая карта Международной платежной системы (далее – МПС) Visa/MasterCard, выпущенная банком, находящимся на территории Российской Федерации.</w:t>
            </w:r>
          </w:p>
          <w:p w:rsidR="00000000" w:rsidDel="00000000" w:rsidP="00000000" w:rsidRDefault="00000000" w:rsidRPr="00000000" w14:paraId="000000CA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Карта ПС «Мир» – любая карта ПС «Мир», выпущенная банком, находящимся на территории Российской Федерации, не включенным в перечень банков [см. примечание 8].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 Квази-кэш («quasi-cash») операциям относятся безналичные расходные операции со следующими МСС кодами: 5933, 6012, 6050, 6051, 6211, 6529, 6530, 6535, 6540, 7801, 7802, 7995, 9754. Описание операций по каждому коду можно посмотреть в «Перечне кодов МСС» (на интернет-сайте Банка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vertAlign w:val="baseline"/>
                  <w:rtl w:val="0"/>
                </w:rPr>
                <w:t xml:space="preserve">www.uralsib.ru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).</w:t>
            </w:r>
          </w:p>
        </w:tc>
      </w:tr>
      <w:tr>
        <w:trPr>
          <w:cantSplit w:val="0"/>
          <w:trHeight w:val="15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Курс Банка ежедневно публикуется на официальном сайте Банка www.uralsib.ru.</w:t>
            </w:r>
          </w:p>
          <w:p w:rsidR="00000000" w:rsidDel="00000000" w:rsidP="00000000" w:rsidRDefault="00000000" w:rsidRPr="00000000" w14:paraId="000000CF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Операции безналичной конвертации из одной иностранной валюты в другую (между USD и EUR) осуществляются по кросс-курсу Банка. Конвертация средств производится в случаях, если валюта операции или валюта расчетов с МПС не совпадает с валютой Картсчета. При этом сумма операции пересчитывается в валюту Картсчета на основании валюты операции, если эта операция совершается в устройствах (терминалах и банкоматах), организованных ПАО «БАНК УРАЛСИБ» и банками согласно перечню [8], либо на основании валюты расчетов с МПС, если эта операция совершается в устройствах (терминалах и банкоматах) сторонних банков.</w:t>
            </w:r>
          </w:p>
          <w:p w:rsidR="00000000" w:rsidDel="00000000" w:rsidP="00000000" w:rsidRDefault="00000000" w:rsidRPr="00000000" w14:paraId="000000D0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Конвертация производится по курсу, установленному Банком на момент обработки операции в процессинговой системе Банка.</w:t>
            </w:r>
          </w:p>
          <w:p w:rsidR="00000000" w:rsidDel="00000000" w:rsidP="00000000" w:rsidRDefault="00000000" w:rsidRPr="00000000" w14:paraId="000000D1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При внесении наличных денежных средств на счета через АТМ с функцией Cash In (on-line), БПТ (при наличии технической возможности) конвертация производится по курсу Банка на проведение безналичных операций по филиалу/подразделению, в котором открыт счет, на момент зачисления денежных средств на счет.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IVR (англ. Interactive Voice Response) — система предварительно записанных голосовых сообщений, выполняющая функцию маршрутизации звонков внутри контакт-центра Банка с использованием информации, вводимой клиентом на клавиатуре телефона с помощью тонального набора. </w:t>
            </w:r>
          </w:p>
          <w:p w:rsidR="00000000" w:rsidDel="00000000" w:rsidP="00000000" w:rsidRDefault="00000000" w:rsidRPr="00000000" w14:paraId="000000D4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При совершении первой операции по запросу баланса, по карте с возможностью установки ПИН-кода с использованием технологии IVR - Комиссия не взимается. Вторая и последующие операции в соответствии с Тарифами.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По истечении первых двух месяцев с даты подключения Карты к Услуге «SMS-сервис» комиссия взимается ежемесячно, в дату подключения к Услуге «SMS-сервис», за каждую Карту, подключенную к Услуге «SMS-сервис». В случае отключения Карты от Услуги «SMS-сервис» по заявлению Клиента в льготный период (первые два месяца), за последующее подключение данной Карты и ежемесячно в дату подключения к Услуге «SMS-сервис» будет взиматься комиссия.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Комиссия применяется к Картсчетам с остатком средств не более 10 000 руб. Комиссия не применяется к Картсчетам, имеющим привязку к действующим кредитным договорам и/или действующим договорам банковского вклада, а также к Картсчетам льготных категорий граждан, определенных на федеральном уровне и законодательными актами субъектов Российской Федерации. Комиссия не взимается, если с Картсчета производится оплата комиссии за подключение к сервисам расчетно-кассового обслуживания Банка.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Размер процентной ставки определяется Банком в диапазоне значений процентных ставок, в соответствии с настоящими Тарифами, на основании проведенной оценки кредитоспособности клиента и указывается в Индивидуальных условиях кредитного договора.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Льготный период кредитования предоставляется только в случае, если условиями Договора предусмотрено предоставление Льготного периода кредитования и определены условия   предоставления Льготного периода кредитования.</w:t>
            </w:r>
          </w:p>
          <w:p w:rsidR="00000000" w:rsidDel="00000000" w:rsidP="00000000" w:rsidRDefault="00000000" w:rsidRPr="00000000" w14:paraId="000000DF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ind w:right="-31"/>
              <w:jc w:val="both"/>
              <w:rPr>
                <w:rFonts w:ascii="Arial" w:cs="Arial" w:eastAsia="Arial" w:hAnsi="Arial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6"/>
                <w:szCs w:val="16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ind w:left="15" w:firstLine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При исчислении суммы пени количество дней в году принимается равным 365 (366).</w:t>
            </w:r>
          </w:p>
        </w:tc>
      </w:tr>
    </w:tbl>
    <w:p w:rsidR="00000000" w:rsidDel="00000000" w:rsidP="00000000" w:rsidRDefault="00000000" w:rsidRPr="00000000" w14:paraId="000000E2">
      <w:pPr>
        <w:spacing w:before="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E3">
      <w:pPr>
        <w:spacing w:before="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1906" w:w="16838" w:orient="landscape"/>
      <w:pgMar w:bottom="142" w:top="567" w:left="851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Stardos Stenci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—"/>
      <w:lvlJc w:val="left"/>
      <w:pPr>
        <w:ind w:left="720" w:hanging="360"/>
      </w:pPr>
      <w:rPr>
        <w:rFonts w:ascii="Stardos Stencil" w:cs="Stardos Stencil" w:eastAsia="Stardos Stencil" w:hAnsi="Stardos Stenci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—"/>
      <w:lvlJc w:val="left"/>
      <w:pPr>
        <w:ind w:left="720" w:hanging="360"/>
      </w:pPr>
      <w:rPr>
        <w:rFonts w:ascii="Stardos Stencil" w:cs="Stardos Stencil" w:eastAsia="Stardos Stencil" w:hAnsi="Stardos Stenci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i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spacing w:line="192" w:lineRule="auto"/>
      <w:jc w:val="center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hyperlink" Target="http://www.uralsib.ru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yperlink" Target="https://oplata.uralsibban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