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A16" w:rsidRDefault="002F1A16" w:rsidP="002F1A16">
      <w:pPr>
        <w:spacing w:line="360" w:lineRule="auto"/>
        <w:contextualSpacing/>
        <w:jc w:val="both"/>
        <w:rPr>
          <w:rFonts w:ascii="Times New Roman" w:hAnsi="Times New Roman" w:cs="Times New Roman"/>
          <w:bCs/>
          <w:sz w:val="24"/>
          <w:szCs w:val="24"/>
        </w:rPr>
      </w:pPr>
    </w:p>
    <w:p w:rsidR="00C06796" w:rsidRDefault="00C06796" w:rsidP="00C06796">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bCs/>
          <w:sz w:val="24"/>
          <w:szCs w:val="24"/>
        </w:rPr>
      </w:pPr>
    </w:p>
    <w:p w:rsidR="00C06796" w:rsidRDefault="00C06796" w:rsidP="00C06796">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Информационный документ </w:t>
      </w:r>
    </w:p>
    <w:p w:rsidR="00C06796" w:rsidRDefault="00C06796" w:rsidP="00C06796">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Субординированная облигация российского эмитента</w:t>
      </w:r>
    </w:p>
    <w:p w:rsidR="00C06796" w:rsidRDefault="00C06796" w:rsidP="00C06796">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sz w:val="24"/>
          <w:szCs w:val="24"/>
        </w:rPr>
      </w:pPr>
      <w:r>
        <w:rPr>
          <w:rFonts w:ascii="Times New Roman" w:hAnsi="Times New Roman" w:cs="Times New Roman"/>
          <w:sz w:val="24"/>
          <w:szCs w:val="24"/>
        </w:rPr>
        <w:t>Предоставляется в соответствии с установленными требованиями. Не является индивидуальной инвестиционной рекомендацией или рекламным материалом. Информация приведена для понимания существенных характеристик и рисков субординированной облигации российского эмитента.</w:t>
      </w:r>
    </w:p>
    <w:p w:rsidR="00C06796" w:rsidRDefault="00C06796" w:rsidP="00C06796">
      <w:pPr>
        <w:pBdr>
          <w:top w:val="single" w:sz="24" w:space="1" w:color="FF0000"/>
          <w:left w:val="single" w:sz="24" w:space="4" w:color="FF0000"/>
          <w:bottom w:val="single" w:sz="24" w:space="1" w:color="FF0000"/>
          <w:right w:val="single" w:sz="24" w:space="4" w:color="FF0000"/>
        </w:pBdr>
        <w:spacing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Это не вклад</w:t>
      </w:r>
    </w:p>
    <w:p w:rsidR="00C06796" w:rsidRDefault="00C06796" w:rsidP="00C06796">
      <w:pPr>
        <w:pBdr>
          <w:top w:val="single" w:sz="24" w:space="1" w:color="FF0000"/>
          <w:left w:val="single" w:sz="24" w:space="4" w:color="FF0000"/>
          <w:bottom w:val="single" w:sz="24" w:space="1" w:color="FF0000"/>
          <w:right w:val="single" w:sz="24" w:space="4" w:color="FF0000"/>
        </w:pBdr>
        <w:spacing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Вы можете потерять все, что вложили</w:t>
      </w:r>
    </w:p>
    <w:p w:rsidR="00C06796" w:rsidRDefault="00C06796" w:rsidP="00C06796">
      <w:pPr>
        <w:pBdr>
          <w:top w:val="single" w:sz="24" w:space="1" w:color="FF0000"/>
          <w:left w:val="single" w:sz="24" w:space="4" w:color="FF0000"/>
          <w:bottom w:val="single" w:sz="24" w:space="1" w:color="FF0000"/>
          <w:right w:val="single" w:sz="24" w:space="4" w:color="FF0000"/>
        </w:pBdr>
        <w:spacing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Средства не застрахованы (не гарантированы) государством</w:t>
      </w:r>
    </w:p>
    <w:p w:rsidR="00C06796" w:rsidRDefault="00C06796" w:rsidP="00C06796">
      <w:pPr>
        <w:pBdr>
          <w:top w:val="single" w:sz="24" w:space="1" w:color="FF0000"/>
          <w:left w:val="single" w:sz="24" w:space="4" w:color="FF0000"/>
          <w:bottom w:val="single" w:sz="24" w:space="1" w:color="FF0000"/>
          <w:right w:val="single" w:sz="24" w:space="4" w:color="FF0000"/>
        </w:pBdr>
        <w:spacing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В случае потерь компенсаций не предусмотрено</w:t>
      </w:r>
    </w:p>
    <w:p w:rsidR="00C06796" w:rsidRDefault="00C06796" w:rsidP="00C06796">
      <w:pPr>
        <w:pBdr>
          <w:top w:val="single" w:sz="24" w:space="1" w:color="FF0000"/>
          <w:left w:val="single" w:sz="24" w:space="4" w:color="FF0000"/>
          <w:bottom w:val="single" w:sz="24" w:space="1" w:color="FF0000"/>
          <w:right w:val="single" w:sz="24" w:space="4" w:color="FF0000"/>
        </w:pBdr>
        <w:spacing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Субординированная облигация предназначена для квалифицированных инвесторов</w:t>
      </w:r>
    </w:p>
    <w:p w:rsidR="00C06796" w:rsidRDefault="00C06796" w:rsidP="00C06796">
      <w:pPr>
        <w:pBdr>
          <w:top w:val="single" w:sz="24" w:space="1" w:color="FF0000"/>
          <w:left w:val="single" w:sz="24" w:space="4" w:color="FF0000"/>
          <w:bottom w:val="single" w:sz="24" w:space="1" w:color="FF0000"/>
          <w:right w:val="single" w:sz="24" w:space="4" w:color="FF0000"/>
        </w:pBdr>
        <w:spacing w:line="240" w:lineRule="auto"/>
        <w:ind w:firstLine="567"/>
        <w:jc w:val="both"/>
        <w:rPr>
          <w:rFonts w:ascii="Times New Roman" w:hAnsi="Times New Roman" w:cs="Times New Roman"/>
          <w:b/>
          <w:sz w:val="24"/>
          <w:szCs w:val="24"/>
        </w:rPr>
      </w:pPr>
    </w:p>
    <w:p w:rsidR="00C06796" w:rsidRDefault="00C06796" w:rsidP="00C06796">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Основные характеристики субординированной облигации.</w:t>
      </w:r>
    </w:p>
    <w:p w:rsidR="00C06796" w:rsidRDefault="00C06796" w:rsidP="00C06796">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Субординированная облигация </w:t>
      </w:r>
      <w:r>
        <w:rPr>
          <w:rFonts w:ascii="Times New Roman" w:hAnsi="Times New Roman" w:cs="Times New Roman"/>
          <w:sz w:val="24"/>
          <w:szCs w:val="24"/>
        </w:rPr>
        <w:t>российского эмитента</w:t>
      </w:r>
      <w:r>
        <w:rPr>
          <w:rFonts w:ascii="Times New Roman" w:hAnsi="Times New Roman" w:cs="Times New Roman"/>
          <w:bCs/>
          <w:sz w:val="24"/>
          <w:szCs w:val="24"/>
        </w:rPr>
        <w:t xml:space="preserve"> -</w:t>
      </w:r>
      <w:r>
        <w:rPr>
          <w:rFonts w:ascii="Times New Roman" w:hAnsi="Times New Roman" w:cs="Times New Roman"/>
          <w:sz w:val="24"/>
          <w:szCs w:val="24"/>
        </w:rPr>
        <w:t xml:space="preserve"> </w:t>
      </w:r>
      <w:r>
        <w:rPr>
          <w:rFonts w:ascii="Times New Roman" w:hAnsi="Times New Roman" w:cs="Times New Roman"/>
          <w:iCs/>
          <w:sz w:val="24"/>
          <w:szCs w:val="24"/>
        </w:rPr>
        <w:t xml:space="preserve">это облигация, выпускаемая только кредитными организациями, по которой эмитент имеет право в одностороннем порядке прекратить выплаты </w:t>
      </w:r>
      <w:r>
        <w:rPr>
          <w:rFonts w:ascii="Times New Roman" w:hAnsi="Times New Roman" w:cs="Times New Roman"/>
          <w:sz w:val="24"/>
          <w:szCs w:val="24"/>
        </w:rPr>
        <w:t>в случае снижения</w:t>
      </w:r>
      <w:r>
        <w:rPr>
          <w:rFonts w:ascii="Times New Roman" w:hAnsi="Times New Roman" w:cs="Times New Roman"/>
          <w:color w:val="FF0000"/>
          <w:sz w:val="24"/>
          <w:szCs w:val="24"/>
        </w:rPr>
        <w:t xml:space="preserve"> </w:t>
      </w:r>
      <w:r>
        <w:rPr>
          <w:rFonts w:ascii="Times New Roman" w:hAnsi="Times New Roman" w:cs="Times New Roman"/>
          <w:sz w:val="24"/>
          <w:szCs w:val="24"/>
        </w:rPr>
        <w:t>норматива достаточности собственных средств ниже уровня, определенного Банком России</w:t>
      </w:r>
      <w:r>
        <w:rPr>
          <w:rStyle w:val="a4"/>
          <w:rFonts w:ascii="Times New Roman" w:hAnsi="Times New Roman" w:cs="Times New Roman"/>
          <w:sz w:val="24"/>
          <w:szCs w:val="24"/>
        </w:rPr>
        <w:footnoteReference w:id="1"/>
      </w:r>
      <w:r>
        <w:rPr>
          <w:rFonts w:ascii="Times New Roman" w:hAnsi="Times New Roman" w:cs="Times New Roman"/>
          <w:sz w:val="24"/>
          <w:szCs w:val="24"/>
        </w:rPr>
        <w:t>, Также может быть предусмотрено право эмитента в одностороннем порядке осуществить мену или конвертацию  субординированных облигаций в обыкновенные акции (доли в уставном капитале) кредитной организации – эмитента. В таком случае решение о выпуске субординированных облигаций должно предусматривать коэффициент мены или конвертации, рассчитанный исходя из соотношения рыночной стоимости обыкновенных акций кредитной организации - эмитента (но не ниже их номинальной стоимости) и размера требований владельцев субординированных облигаций.</w:t>
      </w:r>
      <w:r>
        <w:rPr>
          <w:rFonts w:ascii="Times New Roman" w:hAnsi="Times New Roman" w:cs="Times New Roman"/>
          <w:bCs/>
          <w:sz w:val="24"/>
          <w:szCs w:val="24"/>
        </w:rPr>
        <w:t xml:space="preserve"> </w:t>
      </w:r>
    </w:p>
    <w:p w:rsidR="00C06796" w:rsidRDefault="00C06796" w:rsidP="00C06796">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sz w:val="24"/>
          <w:szCs w:val="24"/>
          <w:lang w:eastAsia="zh-CN"/>
        </w:rPr>
      </w:pPr>
      <w:r>
        <w:rPr>
          <w:rFonts w:ascii="Times New Roman" w:hAnsi="Times New Roman" w:cs="Times New Roman"/>
          <w:sz w:val="24"/>
          <w:szCs w:val="24"/>
        </w:rPr>
        <w:t xml:space="preserve">Все условия погашения и выплат купонов по </w:t>
      </w:r>
      <w:r>
        <w:rPr>
          <w:rFonts w:ascii="Times New Roman" w:hAnsi="Times New Roman" w:cs="Times New Roman"/>
          <w:bCs/>
          <w:sz w:val="24"/>
          <w:szCs w:val="24"/>
        </w:rPr>
        <w:t xml:space="preserve">субординированным облигациям </w:t>
      </w:r>
      <w:r>
        <w:rPr>
          <w:rFonts w:ascii="Times New Roman" w:hAnsi="Times New Roman" w:cs="Times New Roman"/>
          <w:sz w:val="24"/>
          <w:szCs w:val="24"/>
        </w:rPr>
        <w:t xml:space="preserve">определены в эмиссионной документации. </w:t>
      </w:r>
    </w:p>
    <w:p w:rsidR="00C06796" w:rsidRDefault="00C06796" w:rsidP="00C06796">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sz w:val="24"/>
          <w:szCs w:val="24"/>
          <w:lang w:eastAsia="zh-CN"/>
        </w:rPr>
      </w:pPr>
      <w:r>
        <w:rPr>
          <w:rFonts w:ascii="Times New Roman" w:hAnsi="Times New Roman" w:cs="Times New Roman"/>
          <w:sz w:val="24"/>
          <w:szCs w:val="24"/>
        </w:rPr>
        <w:lastRenderedPageBreak/>
        <w:t>Каждая с</w:t>
      </w:r>
      <w:r>
        <w:rPr>
          <w:rFonts w:ascii="Times New Roman" w:hAnsi="Times New Roman" w:cs="Times New Roman"/>
          <w:bCs/>
          <w:sz w:val="24"/>
          <w:szCs w:val="24"/>
        </w:rPr>
        <w:t>убординированная</w:t>
      </w:r>
      <w:r>
        <w:rPr>
          <w:rFonts w:ascii="Times New Roman" w:hAnsi="Times New Roman" w:cs="Times New Roman"/>
          <w:sz w:val="24"/>
          <w:szCs w:val="24"/>
        </w:rPr>
        <w:t xml:space="preserve"> облигация одного выпуска имеет одинаковый объем прав.  </w:t>
      </w:r>
    </w:p>
    <w:p w:rsidR="00C06796" w:rsidRDefault="00C06796" w:rsidP="00C06796">
      <w:pPr>
        <w:pBdr>
          <w:top w:val="single" w:sz="24" w:space="1" w:color="FF0000"/>
          <w:left w:val="single" w:sz="24" w:space="4" w:color="FF0000"/>
          <w:bottom w:val="single" w:sz="24" w:space="1" w:color="FF0000"/>
          <w:right w:val="single" w:sz="24" w:space="4" w:color="FF0000"/>
        </w:pBdr>
        <w:spacing w:line="360" w:lineRule="auto"/>
        <w:jc w:val="both"/>
        <w:rPr>
          <w:rFonts w:ascii="Times New Roman" w:eastAsiaTheme="minorHAnsi" w:hAnsi="Times New Roman" w:cs="Times New Roman"/>
          <w:sz w:val="24"/>
          <w:szCs w:val="24"/>
          <w:lang w:eastAsia="en-US"/>
        </w:rPr>
      </w:pPr>
      <w:r>
        <w:rPr>
          <w:rFonts w:ascii="Times New Roman" w:hAnsi="Times New Roman" w:cs="Times New Roman"/>
          <w:bCs/>
          <w:sz w:val="24"/>
          <w:szCs w:val="24"/>
        </w:rPr>
        <w:t xml:space="preserve">Субординированная облигация </w:t>
      </w:r>
      <w:r>
        <w:rPr>
          <w:rFonts w:ascii="Times New Roman" w:hAnsi="Times New Roman" w:cs="Times New Roman"/>
          <w:sz w:val="24"/>
          <w:szCs w:val="24"/>
        </w:rPr>
        <w:t>имеет номинальную стоимость не менее 10 миллионов рублей (за исключением выпущенных до 28.</w:t>
      </w:r>
      <w:r>
        <w:rPr>
          <w:rFonts w:ascii="Times New Roman" w:hAnsi="Times New Roman" w:cs="Times New Roman"/>
          <w:sz w:val="24"/>
          <w:szCs w:val="24"/>
          <w:lang w:eastAsia="zh-CN"/>
        </w:rPr>
        <w:t xml:space="preserve">12.2018 года) и </w:t>
      </w:r>
      <w:r>
        <w:rPr>
          <w:rFonts w:ascii="Times New Roman" w:hAnsi="Times New Roman" w:cs="Times New Roman"/>
          <w:sz w:val="24"/>
          <w:szCs w:val="24"/>
        </w:rPr>
        <w:t>срок погашения не менее пяти лет (либо не имеет срока погашения).</w:t>
      </w:r>
    </w:p>
    <w:p w:rsidR="00C06796" w:rsidRDefault="00C06796" w:rsidP="00C06796">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bCs/>
          <w:sz w:val="24"/>
          <w:szCs w:val="24"/>
        </w:rPr>
      </w:pPr>
      <w:r>
        <w:rPr>
          <w:rFonts w:ascii="Times New Roman" w:hAnsi="Times New Roman" w:cs="Times New Roman"/>
          <w:bCs/>
          <w:sz w:val="24"/>
          <w:szCs w:val="24"/>
        </w:rPr>
        <w:t>Субординированные облигации</w:t>
      </w:r>
      <w:r>
        <w:rPr>
          <w:rFonts w:ascii="Times New Roman" w:hAnsi="Times New Roman" w:cs="Times New Roman"/>
          <w:sz w:val="24"/>
          <w:szCs w:val="24"/>
        </w:rPr>
        <w:t xml:space="preserve">, в отличие от акций, </w:t>
      </w:r>
      <w:r>
        <w:rPr>
          <w:rFonts w:ascii="Times New Roman" w:hAnsi="Times New Roman" w:cs="Times New Roman"/>
          <w:bCs/>
          <w:sz w:val="24"/>
          <w:szCs w:val="24"/>
        </w:rPr>
        <w:t xml:space="preserve">не дают право на участие в управлении компанией (обществом) - эмитентом. </w:t>
      </w:r>
    </w:p>
    <w:p w:rsidR="00C06796" w:rsidRDefault="00C06796" w:rsidP="00C06796">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sz w:val="24"/>
          <w:szCs w:val="24"/>
        </w:rPr>
      </w:pPr>
      <w:r>
        <w:rPr>
          <w:rFonts w:ascii="Times New Roman" w:eastAsia="Calibri" w:hAnsi="Times New Roman" w:cs="Times New Roman"/>
          <w:b/>
          <w:bCs/>
          <w:sz w:val="24"/>
          <w:szCs w:val="24"/>
        </w:rPr>
        <w:t>Участие в распределении имущества, остающегося при ликвидации (банкротстве) общества.</w:t>
      </w:r>
      <w:r>
        <w:rPr>
          <w:rFonts w:ascii="Times New Roman" w:eastAsia="Calibri" w:hAnsi="Times New Roman" w:cs="Times New Roman"/>
          <w:color w:val="FF0000"/>
          <w:sz w:val="24"/>
          <w:szCs w:val="24"/>
        </w:rPr>
        <w:t xml:space="preserve"> </w:t>
      </w:r>
      <w:r>
        <w:rPr>
          <w:rFonts w:ascii="Times New Roman" w:hAnsi="Times New Roman" w:cs="Times New Roman"/>
          <w:sz w:val="24"/>
          <w:szCs w:val="24"/>
        </w:rPr>
        <w:t xml:space="preserve">При ликвидации держатели субординированных облигаций получат возмещение средств в последнюю очередь, пропустив вперед всех других кредиторов, в том числе владельцев иных облигаций общества. В случае несостоятельности (банкротства) кредитной организации - эмитента требования по субординированным облигациям, а также по финансовым санкциям за неисполнение обязательств по субординированным облигациям удовлетворяются после удовлетворения требований всех иных кредиторов. Указанное условие установлено в условиях эмиссии субординированных облигаций. </w:t>
      </w:r>
    </w:p>
    <w:p w:rsidR="00C06796" w:rsidRDefault="00C06796" w:rsidP="00C06796">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sz w:val="24"/>
          <w:szCs w:val="24"/>
        </w:rPr>
      </w:pPr>
      <w:r>
        <w:rPr>
          <w:rFonts w:ascii="Times New Roman" w:hAnsi="Times New Roman" w:cs="Times New Roman"/>
          <w:sz w:val="24"/>
          <w:szCs w:val="24"/>
        </w:rPr>
        <w:t>Владельцы субординированных облигаций участвуют в распределении имущества перед владельцами привилегированных и обыкновенных акций.</w:t>
      </w:r>
    </w:p>
    <w:p w:rsidR="00C06796" w:rsidRDefault="00C06796" w:rsidP="00C06796">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Основные риски:</w:t>
      </w:r>
    </w:p>
    <w:p w:rsidR="00C06796" w:rsidRPr="00720691" w:rsidRDefault="00C06796" w:rsidP="00C06796">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Рыночный риск (риск негативного изменения стоимости субординированной облигации) - </w:t>
      </w:r>
      <w:r>
        <w:rPr>
          <w:rFonts w:ascii="Times New Roman" w:hAnsi="Times New Roman" w:cs="Times New Roman"/>
          <w:sz w:val="24"/>
          <w:szCs w:val="24"/>
        </w:rPr>
        <w:t xml:space="preserve">стоимость принадлежащей Вам </w:t>
      </w:r>
      <w:r>
        <w:rPr>
          <w:rFonts w:ascii="Times New Roman" w:hAnsi="Times New Roman" w:cs="Times New Roman"/>
          <w:bCs/>
          <w:sz w:val="24"/>
          <w:szCs w:val="24"/>
        </w:rPr>
        <w:t xml:space="preserve">субординированной облигации </w:t>
      </w:r>
      <w:r>
        <w:rPr>
          <w:rFonts w:ascii="Times New Roman" w:hAnsi="Times New Roman" w:cs="Times New Roman"/>
          <w:sz w:val="24"/>
          <w:szCs w:val="24"/>
        </w:rPr>
        <w:t xml:space="preserve">может как расти, так и снижаться, и ее рост в прошлом не означает ее роста в будущем. Изменение цены на </w:t>
      </w:r>
      <w:r>
        <w:rPr>
          <w:rFonts w:ascii="Times New Roman" w:hAnsi="Times New Roman" w:cs="Times New Roman"/>
          <w:bCs/>
          <w:sz w:val="24"/>
          <w:szCs w:val="24"/>
        </w:rPr>
        <w:t xml:space="preserve">субординированные облигации </w:t>
      </w:r>
      <w:r>
        <w:rPr>
          <w:rFonts w:ascii="Times New Roman" w:hAnsi="Times New Roman" w:cs="Times New Roman"/>
          <w:sz w:val="24"/>
          <w:szCs w:val="24"/>
        </w:rPr>
        <w:t xml:space="preserve">связано, прежде всего, с изменением процентных ставок на финансовом рынке. Как правило, цена </w:t>
      </w:r>
      <w:r>
        <w:rPr>
          <w:rFonts w:ascii="Times New Roman" w:hAnsi="Times New Roman" w:cs="Times New Roman"/>
          <w:bCs/>
          <w:sz w:val="24"/>
          <w:szCs w:val="24"/>
        </w:rPr>
        <w:t xml:space="preserve">субординированной облигации </w:t>
      </w:r>
      <w:r>
        <w:rPr>
          <w:rFonts w:ascii="Times New Roman" w:hAnsi="Times New Roman" w:cs="Times New Roman"/>
          <w:sz w:val="24"/>
          <w:szCs w:val="24"/>
        </w:rPr>
        <w:t xml:space="preserve">снижается, если процентные ставки на рынке растут, и наоборот - цена </w:t>
      </w:r>
      <w:r>
        <w:rPr>
          <w:rFonts w:ascii="Times New Roman" w:hAnsi="Times New Roman" w:cs="Times New Roman"/>
          <w:bCs/>
          <w:sz w:val="24"/>
          <w:szCs w:val="24"/>
        </w:rPr>
        <w:t xml:space="preserve">субординированной облигации </w:t>
      </w:r>
      <w:r>
        <w:rPr>
          <w:rFonts w:ascii="Times New Roman" w:hAnsi="Times New Roman" w:cs="Times New Roman"/>
          <w:sz w:val="24"/>
          <w:szCs w:val="24"/>
        </w:rPr>
        <w:t xml:space="preserve">растет, если процентные ставки снижаются. Также изменение рыночной стоимости </w:t>
      </w:r>
      <w:r>
        <w:rPr>
          <w:rFonts w:ascii="Times New Roman" w:hAnsi="Times New Roman" w:cs="Times New Roman"/>
          <w:bCs/>
          <w:sz w:val="24"/>
          <w:szCs w:val="24"/>
        </w:rPr>
        <w:t xml:space="preserve">субординированных облигаций </w:t>
      </w:r>
      <w:r>
        <w:rPr>
          <w:rFonts w:ascii="Times New Roman" w:hAnsi="Times New Roman" w:cs="Times New Roman"/>
          <w:sz w:val="24"/>
          <w:szCs w:val="24"/>
        </w:rPr>
        <w:t xml:space="preserve">может быть связано с изменением восприятия рынком финансового состояния и платежеспособности кредитной организации - эмитента </w:t>
      </w:r>
      <w:r>
        <w:rPr>
          <w:rFonts w:ascii="Times New Roman" w:hAnsi="Times New Roman" w:cs="Times New Roman"/>
          <w:bCs/>
          <w:sz w:val="24"/>
          <w:szCs w:val="24"/>
        </w:rPr>
        <w:t xml:space="preserve">субординированной </w:t>
      </w:r>
      <w:r>
        <w:rPr>
          <w:rFonts w:ascii="Times New Roman" w:hAnsi="Times New Roman" w:cs="Times New Roman"/>
          <w:sz w:val="24"/>
          <w:szCs w:val="24"/>
        </w:rPr>
        <w:t xml:space="preserve">облигации, в том числе с изменением кредитного рейтинга эмитента (конкретного выпуска облигаций), корпоративными событиями </w:t>
      </w:r>
      <w:r>
        <w:rPr>
          <w:rFonts w:ascii="Times New Roman" w:eastAsia="Calibri" w:hAnsi="Times New Roman" w:cs="Times New Roman"/>
          <w:bCs/>
          <w:sz w:val="24"/>
          <w:szCs w:val="24"/>
        </w:rPr>
        <w:t>и другими обстоятельствами</w:t>
      </w:r>
      <w:r>
        <w:rPr>
          <w:rFonts w:ascii="Times New Roman" w:hAnsi="Times New Roman" w:cs="Times New Roman"/>
          <w:sz w:val="24"/>
          <w:szCs w:val="24"/>
        </w:rPr>
        <w:t xml:space="preserve">. </w:t>
      </w:r>
    </w:p>
    <w:p w:rsidR="00C06796" w:rsidRDefault="00C06796" w:rsidP="00C06796">
      <w:pPr>
        <w:pBdr>
          <w:top w:val="single" w:sz="24" w:space="1" w:color="FF0000"/>
          <w:left w:val="single" w:sz="24" w:space="4" w:color="FF0000"/>
          <w:bottom w:val="single" w:sz="24" w:space="1" w:color="FF0000"/>
          <w:right w:val="single" w:sz="24" w:space="4" w:color="FF0000"/>
        </w:pBdr>
        <w:spacing w:line="360" w:lineRule="auto"/>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 xml:space="preserve">Риск ликвидности. </w:t>
      </w:r>
      <w:r>
        <w:rPr>
          <w:rFonts w:ascii="Times New Roman" w:eastAsia="Calibri" w:hAnsi="Times New Roman" w:cs="Times New Roman"/>
          <w:bCs/>
          <w:sz w:val="24"/>
          <w:szCs w:val="24"/>
        </w:rPr>
        <w:t xml:space="preserve">Ликвидность, то есть возможность продать </w:t>
      </w:r>
      <w:r>
        <w:rPr>
          <w:rFonts w:ascii="Times New Roman" w:hAnsi="Times New Roman" w:cs="Times New Roman"/>
          <w:bCs/>
          <w:sz w:val="24"/>
          <w:szCs w:val="24"/>
        </w:rPr>
        <w:t xml:space="preserve">субординированную облигацию </w:t>
      </w:r>
      <w:r>
        <w:rPr>
          <w:rFonts w:ascii="Times New Roman" w:eastAsia="Calibri" w:hAnsi="Times New Roman" w:cs="Times New Roman"/>
          <w:bCs/>
          <w:sz w:val="24"/>
          <w:szCs w:val="24"/>
        </w:rPr>
        <w:t>в любой момент времени без существенного снижения ее стоимости, зависит от спроса и предложения на рынке. С</w:t>
      </w:r>
      <w:r>
        <w:rPr>
          <w:rFonts w:ascii="Times New Roman" w:hAnsi="Times New Roman" w:cs="Times New Roman"/>
          <w:bCs/>
          <w:sz w:val="24"/>
          <w:szCs w:val="24"/>
        </w:rPr>
        <w:t xml:space="preserve">убординированные облигации </w:t>
      </w:r>
      <w:r>
        <w:rPr>
          <w:rFonts w:ascii="Times New Roman" w:eastAsia="Times New Roman" w:hAnsi="Times New Roman" w:cs="Times New Roman"/>
          <w:sz w:val="24"/>
          <w:szCs w:val="24"/>
        </w:rPr>
        <w:t>могут иметь низкую ликвидность, то есть из-за специфики инструмента и повышенных требований к инвесторам бывает сложно найти покупателя</w:t>
      </w:r>
      <w:r>
        <w:rPr>
          <w:rFonts w:ascii="Times New Roman" w:eastAsia="Calibri" w:hAnsi="Times New Roman" w:cs="Times New Roman"/>
          <w:bCs/>
          <w:sz w:val="24"/>
          <w:szCs w:val="24"/>
        </w:rPr>
        <w:t>. С</w:t>
      </w:r>
      <w:r>
        <w:rPr>
          <w:rFonts w:ascii="Times New Roman" w:hAnsi="Times New Roman" w:cs="Times New Roman"/>
          <w:bCs/>
          <w:sz w:val="24"/>
          <w:szCs w:val="24"/>
        </w:rPr>
        <w:t xml:space="preserve">убординированные облигации могут </w:t>
      </w:r>
      <w:r>
        <w:rPr>
          <w:rFonts w:ascii="Times New Roman" w:eastAsia="Calibri" w:hAnsi="Times New Roman" w:cs="Times New Roman"/>
          <w:bCs/>
          <w:sz w:val="24"/>
          <w:szCs w:val="24"/>
        </w:rPr>
        <w:t xml:space="preserve">обращаться на организованном и неорганизованном рынке. В определенный момент Вы можете столкнуться с невозможностью продать свои субординированные облигации или с тем, что Вам придется продать их с существенными убытками из-за снижения спроса на них или каких-либо ограничений на их обращение. Предпосылками для снижения ликвидности субординированных облигаций могут являться: информация о снижении </w:t>
      </w:r>
      <w:r>
        <w:rPr>
          <w:rFonts w:ascii="Times New Roman" w:hAnsi="Times New Roman" w:cs="Times New Roman"/>
          <w:sz w:val="24"/>
          <w:szCs w:val="24"/>
        </w:rPr>
        <w:t xml:space="preserve">кредитного рейтинга эмитента, о неустойчивом финансовом положении, </w:t>
      </w:r>
      <w:r>
        <w:rPr>
          <w:rFonts w:ascii="Times New Roman" w:eastAsia="Calibri" w:hAnsi="Times New Roman" w:cs="Times New Roman"/>
          <w:bCs/>
          <w:sz w:val="24"/>
          <w:szCs w:val="24"/>
        </w:rPr>
        <w:t xml:space="preserve">негативные корпоративные события, </w:t>
      </w:r>
      <w:r>
        <w:rPr>
          <w:rFonts w:ascii="Times New Roman" w:hAnsi="Times New Roman" w:cs="Times New Roman"/>
          <w:sz w:val="24"/>
          <w:szCs w:val="24"/>
        </w:rPr>
        <w:t xml:space="preserve">снижение доверия к эмитенту, потеря репутации </w:t>
      </w:r>
      <w:r>
        <w:rPr>
          <w:rFonts w:ascii="Times New Roman" w:eastAsia="Calibri" w:hAnsi="Times New Roman" w:cs="Times New Roman"/>
          <w:bCs/>
          <w:sz w:val="24"/>
          <w:szCs w:val="24"/>
        </w:rPr>
        <w:t>и другие обстоятельства.</w:t>
      </w:r>
    </w:p>
    <w:p w:rsidR="00C06796" w:rsidRDefault="00C06796" w:rsidP="00C06796">
      <w:pPr>
        <w:pBdr>
          <w:top w:val="single" w:sz="24" w:space="1" w:color="FF0000"/>
          <w:left w:val="single" w:sz="24" w:space="4" w:color="FF0000"/>
          <w:bottom w:val="single" w:sz="24" w:space="1" w:color="FF0000"/>
          <w:right w:val="single" w:sz="24" w:space="4" w:color="FF0000"/>
        </w:pBdr>
        <w:spacing w:line="360" w:lineRule="auto"/>
        <w:jc w:val="both"/>
        <w:rPr>
          <w:rFonts w:ascii="Times New Roman" w:eastAsiaTheme="minorHAnsi" w:hAnsi="Times New Roman" w:cs="Times New Roman"/>
          <w:sz w:val="24"/>
          <w:szCs w:val="24"/>
        </w:rPr>
      </w:pPr>
      <w:r>
        <w:rPr>
          <w:rFonts w:ascii="Times New Roman" w:hAnsi="Times New Roman" w:cs="Times New Roman"/>
          <w:b/>
          <w:bCs/>
          <w:sz w:val="24"/>
          <w:szCs w:val="24"/>
        </w:rPr>
        <w:t xml:space="preserve">Кредитный риск. </w:t>
      </w:r>
      <w:r>
        <w:rPr>
          <w:rFonts w:ascii="Times New Roman" w:hAnsi="Times New Roman" w:cs="Times New Roman"/>
          <w:sz w:val="24"/>
          <w:szCs w:val="24"/>
        </w:rPr>
        <w:t xml:space="preserve">Существует риск неисполнения эмитентом </w:t>
      </w:r>
      <w:r>
        <w:rPr>
          <w:rFonts w:ascii="Times New Roman" w:hAnsi="Times New Roman" w:cs="Times New Roman"/>
          <w:bCs/>
          <w:sz w:val="24"/>
          <w:szCs w:val="24"/>
        </w:rPr>
        <w:t xml:space="preserve">субординированных облигации </w:t>
      </w:r>
      <w:r>
        <w:rPr>
          <w:rFonts w:ascii="Times New Roman" w:hAnsi="Times New Roman" w:cs="Times New Roman"/>
          <w:sz w:val="24"/>
          <w:szCs w:val="24"/>
        </w:rPr>
        <w:t xml:space="preserve">своих обязательств, который может реализоваться, в частности, в виде пропуска или задержки выплаты купонов и (или) погашения номинальной стоимости субординированной облигации. </w:t>
      </w:r>
    </w:p>
    <w:p w:rsidR="00C06796" w:rsidRDefault="00C06796" w:rsidP="00C06796">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Риск дефолта. </w:t>
      </w:r>
      <w:r>
        <w:rPr>
          <w:rFonts w:ascii="Times New Roman" w:hAnsi="Times New Roman" w:cs="Times New Roman"/>
          <w:sz w:val="24"/>
          <w:szCs w:val="24"/>
        </w:rPr>
        <w:t xml:space="preserve">Ситуация, при которой эмитент не в состоянии выплатить владельцам </w:t>
      </w:r>
      <w:r>
        <w:rPr>
          <w:rFonts w:ascii="Times New Roman" w:hAnsi="Times New Roman" w:cs="Times New Roman"/>
          <w:bCs/>
          <w:sz w:val="24"/>
          <w:szCs w:val="24"/>
        </w:rPr>
        <w:t xml:space="preserve">субординированных облигации </w:t>
      </w:r>
      <w:r>
        <w:rPr>
          <w:rFonts w:ascii="Times New Roman" w:hAnsi="Times New Roman" w:cs="Times New Roman"/>
          <w:sz w:val="24"/>
          <w:szCs w:val="24"/>
        </w:rPr>
        <w:t xml:space="preserve">сумму погашения </w:t>
      </w:r>
      <w:r>
        <w:rPr>
          <w:rFonts w:ascii="Times New Roman" w:hAnsi="Times New Roman" w:cs="Times New Roman"/>
          <w:bCs/>
          <w:sz w:val="24"/>
          <w:szCs w:val="24"/>
        </w:rPr>
        <w:t xml:space="preserve">субординированных облигации </w:t>
      </w:r>
      <w:r>
        <w:rPr>
          <w:rFonts w:ascii="Times New Roman" w:hAnsi="Times New Roman" w:cs="Times New Roman"/>
          <w:sz w:val="24"/>
          <w:szCs w:val="24"/>
        </w:rPr>
        <w:t>и (или) купонов по ним. В этом случае инвесторы рискуют потерять все свои вложения в данную ценную бумагу. Дефолт может произойти у эмитентов с любым уровнем кредитного рейтинга. Кредитный рейтинг отражает мнение рейтингового агентства о вероятности наступления дефолта: наименее вероятный уровень, как правило, обозначается «ААА» (высший кредитный уровень, затем следует «АА», «А», «ВВВ», «ВВ», «В» по степени увеличения вероятности дефолта). Чем ниже кредитный рейтинг эмитента (конкретного выпуска субординированных облигаций), тем выше, по мнению кредитного рейтингового агентства, вероятность дефолта.</w:t>
      </w:r>
    </w:p>
    <w:p w:rsidR="00C06796" w:rsidRDefault="00C06796" w:rsidP="00C06796">
      <w:pPr>
        <w:pBdr>
          <w:top w:val="single" w:sz="24" w:space="1" w:color="FF0000"/>
          <w:left w:val="single" w:sz="24" w:space="4" w:color="FF0000"/>
          <w:bottom w:val="single" w:sz="24" w:space="1" w:color="FF0000"/>
          <w:right w:val="single" w:sz="24" w:space="4" w:color="FF0000"/>
        </w:pBdr>
        <w:spacing w:line="360" w:lineRule="auto"/>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 xml:space="preserve">Риск банкротства эмитента. </w:t>
      </w:r>
      <w:r>
        <w:rPr>
          <w:rFonts w:ascii="Times New Roman" w:eastAsia="Calibri" w:hAnsi="Times New Roman" w:cs="Times New Roman"/>
          <w:bCs/>
          <w:sz w:val="24"/>
          <w:szCs w:val="24"/>
        </w:rPr>
        <w:t xml:space="preserve">В случае банкротства эмитента размер его имущества недостаточен для расчетов со всеми кредиторами. Погашение задолженности происходит согласно законодательно установленной очередности. </w:t>
      </w:r>
      <w:r>
        <w:rPr>
          <w:rFonts w:ascii="Times New Roman" w:eastAsia="Calibri" w:hAnsi="Times New Roman" w:cs="Times New Roman"/>
          <w:sz w:val="24"/>
          <w:szCs w:val="24"/>
        </w:rPr>
        <w:t xml:space="preserve">Несмотря на то, что в случае банкротства выплаты оставшегося имущества эмитента производятся владельцам </w:t>
      </w:r>
      <w:r>
        <w:rPr>
          <w:rFonts w:ascii="Times New Roman" w:eastAsia="Calibri" w:hAnsi="Times New Roman" w:cs="Times New Roman"/>
          <w:bCs/>
          <w:sz w:val="24"/>
          <w:szCs w:val="24"/>
        </w:rPr>
        <w:t>с</w:t>
      </w:r>
      <w:r>
        <w:rPr>
          <w:rFonts w:ascii="Times New Roman" w:hAnsi="Times New Roman" w:cs="Times New Roman"/>
          <w:bCs/>
          <w:sz w:val="24"/>
          <w:szCs w:val="24"/>
        </w:rPr>
        <w:t xml:space="preserve">убординированных облигаций </w:t>
      </w:r>
      <w:r>
        <w:rPr>
          <w:rFonts w:ascii="Times New Roman" w:eastAsia="Calibri" w:hAnsi="Times New Roman" w:cs="Times New Roman"/>
          <w:sz w:val="24"/>
          <w:szCs w:val="24"/>
        </w:rPr>
        <w:t xml:space="preserve">перед владельцами привилегированных и обыкновенных акций, имущества может быть недостаточно для выплат по субординированным облигациям. В результате </w:t>
      </w:r>
      <w:r>
        <w:rPr>
          <w:rFonts w:ascii="Times New Roman" w:eastAsia="Calibri" w:hAnsi="Times New Roman" w:cs="Times New Roman"/>
          <w:bCs/>
          <w:sz w:val="24"/>
          <w:szCs w:val="24"/>
        </w:rPr>
        <w:t>Вы можете потерять все свои вложения в с</w:t>
      </w:r>
      <w:r>
        <w:rPr>
          <w:rFonts w:ascii="Times New Roman" w:hAnsi="Times New Roman" w:cs="Times New Roman"/>
          <w:bCs/>
          <w:sz w:val="24"/>
          <w:szCs w:val="24"/>
        </w:rPr>
        <w:t>убординированные облигации</w:t>
      </w:r>
      <w:r>
        <w:rPr>
          <w:rFonts w:ascii="Times New Roman" w:eastAsia="Calibri" w:hAnsi="Times New Roman" w:cs="Times New Roman"/>
          <w:bCs/>
          <w:sz w:val="24"/>
          <w:szCs w:val="24"/>
        </w:rPr>
        <w:t>.</w:t>
      </w:r>
    </w:p>
    <w:p w:rsidR="00C06796" w:rsidRDefault="00C06796" w:rsidP="00C06796">
      <w:pPr>
        <w:pBdr>
          <w:top w:val="single" w:sz="24" w:space="1" w:color="FF0000"/>
          <w:left w:val="single" w:sz="24" w:space="4" w:color="FF0000"/>
          <w:bottom w:val="single" w:sz="24" w:space="1" w:color="FF0000"/>
          <w:right w:val="single" w:sz="24" w:space="4" w:color="FF0000"/>
        </w:pBdr>
        <w:spacing w:line="360" w:lineRule="auto"/>
        <w:jc w:val="both"/>
        <w:rPr>
          <w:rFonts w:ascii="Times New Roman" w:eastAsiaTheme="minorHAnsi" w:hAnsi="Times New Roman" w:cs="Times New Roman"/>
          <w:sz w:val="24"/>
          <w:szCs w:val="24"/>
        </w:rPr>
      </w:pPr>
      <w:r>
        <w:rPr>
          <w:rFonts w:ascii="Times New Roman" w:hAnsi="Times New Roman" w:cs="Times New Roman"/>
          <w:sz w:val="24"/>
          <w:szCs w:val="24"/>
        </w:rPr>
        <w:t>Способность эмитента в полном объеме выполнять свои обязательства по субординированным облигациям подтверждается, например, высоким кредитным рейтингом эмитента, его устойчивым финансовым положением и т.д. При покупке субординированных облигаций Вам следует обратить внимание на финансовую устойчивость и добросовестность эмитента.</w:t>
      </w:r>
    </w:p>
    <w:p w:rsidR="00C06796" w:rsidRDefault="00C06796" w:rsidP="00C06796">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Комиссии</w:t>
      </w:r>
    </w:p>
    <w:p w:rsidR="00C06796" w:rsidRDefault="00C06796" w:rsidP="00C06796">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sz w:val="24"/>
          <w:szCs w:val="24"/>
        </w:rPr>
      </w:pPr>
      <w:r>
        <w:rPr>
          <w:rFonts w:ascii="Times New Roman" w:hAnsi="Times New Roman" w:cs="Times New Roman"/>
          <w:bCs/>
          <w:sz w:val="24"/>
          <w:szCs w:val="24"/>
        </w:rPr>
        <w:t xml:space="preserve">При сделках с </w:t>
      </w:r>
      <w:r>
        <w:rPr>
          <w:rFonts w:ascii="Times New Roman" w:hAnsi="Times New Roman" w:cs="Times New Roman"/>
          <w:sz w:val="24"/>
          <w:szCs w:val="24"/>
        </w:rPr>
        <w:t xml:space="preserve">субординированным облигациям российских эмитентов </w:t>
      </w:r>
      <w:r>
        <w:rPr>
          <w:rFonts w:ascii="Times New Roman" w:hAnsi="Times New Roman" w:cs="Times New Roman"/>
          <w:bCs/>
          <w:sz w:val="24"/>
          <w:szCs w:val="24"/>
        </w:rPr>
        <w:t xml:space="preserve">взимается комиссия брокера за исполнение поручений, а также могут взиматься комиссии биржи и клиринговой организации за совершение сделки, комиссия депозитария за учет права собственности инвестора на субординированную облигацию. </w:t>
      </w:r>
      <w:r>
        <w:rPr>
          <w:rFonts w:ascii="Times New Roman" w:hAnsi="Times New Roman" w:cs="Times New Roman"/>
          <w:sz w:val="24"/>
          <w:szCs w:val="24"/>
        </w:rPr>
        <w:t>Размеры всех тарифов можно найти на сайте брокера, депозитария, клиринговой организации и биржи.  При покупке обращающейся на рынке субординированной облигации в сумму сделки включается часть купонного процентного дохода по субординированной облигации, рассчитываемая пропорционально количеству дней, прошедших от даты предыдущей выплаты купонного дохода до даты исполнения сделки купли-продажи субординированной облигации. Данный накопленный купонный доход передается продавцу субординированной облигации.</w:t>
      </w:r>
    </w:p>
    <w:p w:rsidR="00C06796" w:rsidRDefault="00C06796" w:rsidP="00C06796">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Жалобы и предложения</w:t>
      </w:r>
    </w:p>
    <w:p w:rsidR="00C06796" w:rsidRDefault="00C06796" w:rsidP="00C06796">
      <w:pPr>
        <w:pBdr>
          <w:top w:val="single" w:sz="24" w:space="1" w:color="FF0000"/>
          <w:left w:val="single" w:sz="24" w:space="4" w:color="FF0000"/>
          <w:bottom w:val="single" w:sz="24" w:space="1" w:color="FF0000"/>
          <w:right w:val="single" w:sz="24" w:space="4" w:color="FF0000"/>
        </w:pBdr>
        <w:spacing w:line="360" w:lineRule="auto"/>
        <w:jc w:val="both"/>
        <w:rPr>
          <w:rFonts w:ascii="Times New Roman" w:hAnsi="Times New Roman" w:cs="Times New Roman"/>
          <w:bCs/>
          <w:sz w:val="24"/>
          <w:szCs w:val="24"/>
        </w:rPr>
      </w:pPr>
      <w:r>
        <w:rPr>
          <w:rFonts w:ascii="Times New Roman" w:hAnsi="Times New Roman" w:cs="Times New Roman"/>
          <w:bCs/>
          <w:sz w:val="24"/>
          <w:szCs w:val="24"/>
        </w:rPr>
        <w:t>Жалобы и предложения Вы можете направить брокеру, с которым Вы сотрудничаете, в саморегулируемую организацию в сфере финансового рынка, членом которой является такой брокер, или в Банк России.</w:t>
      </w:r>
    </w:p>
    <w:p w:rsidR="00CD0E7E" w:rsidRDefault="00CD0E7E" w:rsidP="00C06796">
      <w:pPr>
        <w:pBdr>
          <w:top w:val="single" w:sz="24" w:space="1" w:color="FF0000"/>
          <w:left w:val="single" w:sz="24" w:space="4" w:color="FF0000"/>
          <w:bottom w:val="single" w:sz="24" w:space="1" w:color="FF0000"/>
          <w:right w:val="single" w:sz="24" w:space="4" w:color="FF0000"/>
        </w:pBdr>
        <w:spacing w:line="360" w:lineRule="auto"/>
        <w:contextualSpacing/>
      </w:pPr>
      <w:bookmarkStart w:id="0" w:name="_GoBack"/>
      <w:bookmarkEnd w:id="0"/>
    </w:p>
    <w:sectPr w:rsidR="00CD0E7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6796" w:rsidRDefault="00C06796" w:rsidP="00C06796">
      <w:pPr>
        <w:spacing w:after="0" w:line="240" w:lineRule="auto"/>
      </w:pPr>
      <w:r>
        <w:separator/>
      </w:r>
    </w:p>
  </w:endnote>
  <w:endnote w:type="continuationSeparator" w:id="0">
    <w:p w:rsidR="00C06796" w:rsidRDefault="00C06796" w:rsidP="00C06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6796" w:rsidRDefault="00C06796" w:rsidP="00C06796">
      <w:pPr>
        <w:spacing w:after="0" w:line="240" w:lineRule="auto"/>
      </w:pPr>
      <w:r>
        <w:separator/>
      </w:r>
    </w:p>
  </w:footnote>
  <w:footnote w:type="continuationSeparator" w:id="0">
    <w:p w:rsidR="00C06796" w:rsidRDefault="00C06796" w:rsidP="00C06796">
      <w:pPr>
        <w:spacing w:after="0" w:line="240" w:lineRule="auto"/>
      </w:pPr>
      <w:r>
        <w:continuationSeparator/>
      </w:r>
    </w:p>
  </w:footnote>
  <w:footnote w:id="1">
    <w:p w:rsidR="00C06796" w:rsidRDefault="00C06796" w:rsidP="00C06796">
      <w:pPr>
        <w:autoSpaceDE w:val="0"/>
        <w:autoSpaceDN w:val="0"/>
        <w:adjustRightInd w:val="0"/>
        <w:spacing w:after="0" w:line="240" w:lineRule="auto"/>
        <w:jc w:val="both"/>
      </w:pPr>
      <w:r>
        <w:rPr>
          <w:rStyle w:val="a4"/>
        </w:rPr>
        <w:footnoteRef/>
      </w:r>
      <w:r>
        <w:t xml:space="preserve"> </w:t>
      </w:r>
      <w:r>
        <w:rPr>
          <w:rFonts w:ascii="Times New Roman" w:hAnsi="Times New Roman" w:cs="Times New Roman"/>
        </w:rPr>
        <w:t>Федеральный закон от 10.07.2002 № 86-ФЗ «О Центральном банке Российской Федерации (Банке России)», ст. 67.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A6C"/>
    <w:rsid w:val="000742BA"/>
    <w:rsid w:val="002D6ADB"/>
    <w:rsid w:val="002F1A16"/>
    <w:rsid w:val="00B547DD"/>
    <w:rsid w:val="00C06796"/>
    <w:rsid w:val="00CD0E7E"/>
    <w:rsid w:val="00D87A6C"/>
    <w:rsid w:val="00F80F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CC41BC-44B8-4CE8-8F92-C5886C87A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7A6C"/>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D0E7E"/>
    <w:rPr>
      <w:b/>
      <w:bCs/>
    </w:rPr>
  </w:style>
  <w:style w:type="character" w:styleId="a4">
    <w:name w:val="footnote reference"/>
    <w:basedOn w:val="a0"/>
    <w:uiPriority w:val="99"/>
    <w:semiHidden/>
    <w:unhideWhenUsed/>
    <w:rsid w:val="00C067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1124</Words>
  <Characters>6413</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UralSib</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Жернаклёва Татьяна Геннадиевна</dc:creator>
  <cp:keywords/>
  <dc:description/>
  <cp:lastModifiedBy>Жернаклёва Татьяна Геннадиевна</cp:lastModifiedBy>
  <cp:revision>2</cp:revision>
  <dcterms:created xsi:type="dcterms:W3CDTF">2025-03-12T14:32:00Z</dcterms:created>
  <dcterms:modified xsi:type="dcterms:W3CDTF">2025-03-12T14:32:00Z</dcterms:modified>
</cp:coreProperties>
</file>